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11.xml" ContentType="application/vnd.openxmlformats-officedocument.theme+xml"/>
  <Override PartName="/word/settings.xml" ContentType="application/vnd.openxmlformats-officedocument.wordprocessingml.settings+xml"/>
  <Override PartName="/word/footer11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custom-properties" Target="/docProps/custom.xml" Id="rId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start="3139"/>
        <w:rPr>
          <w:rFonts w:ascii="Times New Roman"/>
          <w:b w:val="0"/>
          <w:i w:val="0"/>
          <w:sz w:val="20"/>
        </w:rPr>
      </w:pPr>
      <w:r>
        <w:rPr>
          <w:rFonts w:ascii="Times New Roman"/>
          <w:b w:val="0"/>
          <w:i w:val="0"/>
          <w:sz w:val="20"/>
        </w:rPr>
        <w:drawing>
          <wp:inline distT="0" distB="0" distL="0" distR="0">
            <wp:extent cx="2684013" cy="100050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684013" cy="1000505"/>
                    </a:xfrm>
                    <a:prstGeom prst="rect">
                      <a:avLst/>
                    </a:prstGeom>
                  </pic:spPr>
                </pic:pic>
              </a:graphicData>
            </a:graphic>
          </wp:inline>
        </w:drawing>
      </w:r>
      <w:r>
        <w:rPr>
          <w:rFonts w:ascii="Times New Roman"/>
          <w:b w:val="0"/>
          <w:i w:val="0"/>
          <w:sz w:val="20"/>
        </w:rPr>
      </w:r>
    </w:p>
    <w:p>
      <w:pPr>
        <w:pStyle w:val="BodyText"/>
        <w:rPr>
          <w:rFonts w:ascii="Times New Roman"/>
          <w:b w:val="0"/>
          <w:i w:val="0"/>
          <w:sz w:val="20"/>
        </w:rPr>
      </w:pPr>
    </w:p>
    <w:p>
      <w:pPr>
        <w:pStyle w:val="BodyText"/>
        <w:spacing w:before="4"/>
        <w:rPr>
          <w:rFonts w:ascii="Times New Roman"/>
          <w:b w:val="0"/>
          <w:i w:val="0"/>
          <w:sz w:val="20"/>
        </w:rPr>
      </w:pPr>
    </w:p>
    <w:p>
      <w:pPr>
        <w:spacing w:before="0"/>
        <w:ind w:start="821" w:end="0" w:firstLine="0"/>
        <w:jc w:val="both"/>
        <w:rPr>
          <w:sz w:val="22"/>
        </w:rPr>
      </w:pPr>
      <w:r>
        <w:rPr>
          <w:sz w:val="22"/>
        </w:rPr>
        <w:t xml:space="preserve">A </w:t>
      </w:r>
      <w:r>
        <w:rPr>
          <w:spacing w:val="-5"/>
          <w:sz w:val="22"/>
        </w:rPr>
        <w:t xml:space="preserve">la</w:t>
      </w:r>
    </w:p>
    <w:p>
      <w:pPr>
        <w:spacing w:before="21"/>
        <w:ind w:start="821" w:end="0" w:firstLine="0"/>
        <w:jc w:val="both"/>
        <w:rPr>
          <w:b/>
          <w:sz w:val="22"/>
        </w:rPr>
      </w:pPr>
      <w:r>
        <w:rPr>
          <w:b/>
          <w:spacing w:val="-2"/>
          <w:sz w:val="22"/>
        </w:rPr>
        <w:t xml:space="preserve">Comisión Europea</w:t>
      </w:r>
    </w:p>
    <w:p>
      <w:pPr>
        <w:spacing w:before="20" w:line="259" w:lineRule="auto"/>
        <w:ind w:start="821" w:end="5616" w:firstLine="0"/>
        <w:jc w:val="left"/>
        <w:rPr>
          <w:sz w:val="22"/>
        </w:rPr>
      </w:pPr>
      <w:r>
        <w:rPr>
          <w:sz w:val="22"/>
        </w:rPr>
        <w:t xml:space="preserve">Rue </w:t>
      </w:r>
      <w:r>
        <w:rPr>
          <w:sz w:val="22"/>
        </w:rPr>
        <w:t xml:space="preserve">de </w:t>
      </w:r>
      <w:r>
        <w:rPr>
          <w:sz w:val="22"/>
        </w:rPr>
        <w:t xml:space="preserve">la </w:t>
      </w:r>
      <w:r>
        <w:rPr>
          <w:sz w:val="22"/>
        </w:rPr>
        <w:t xml:space="preserve">Loi/WETSRAAT </w:t>
      </w:r>
      <w:r>
        <w:rPr>
          <w:sz w:val="22"/>
        </w:rPr>
        <w:t xml:space="preserve">200 1049 BRUSELAS</w:t>
      </w:r>
    </w:p>
    <w:p>
      <w:pPr>
        <w:spacing w:before="0" w:line="251" w:lineRule="exact"/>
        <w:ind w:start="821" w:end="0" w:firstLine="0"/>
        <w:jc w:val="left"/>
        <w:rPr>
          <w:sz w:val="22"/>
        </w:rPr>
      </w:pPr>
      <w:r>
        <w:rPr>
          <w:spacing w:val="-2"/>
          <w:sz w:val="22"/>
        </w:rPr>
        <w:t xml:space="preserve">BÉLGICA</w:t>
      </w:r>
    </w:p>
    <w:p>
      <w:pPr>
        <w:spacing w:before="10" w:line="240" w:lineRule="auto"/>
        <w:rPr>
          <w:sz w:val="26"/>
        </w:rPr>
      </w:pPr>
    </w:p>
    <w:p>
      <w:pPr>
        <w:pStyle w:val="ListParagraph"/>
        <w:numPr>
          <w:ilvl w:val="0"/>
          <w:numId w:val="1"/>
        </w:numPr>
        <w:tabs>
          <w:tab w:val="left" w:leader="none" w:pos="1541"/>
          <w:tab w:val="left" w:leader="none" w:pos="1542"/>
        </w:tabs>
        <w:spacing w:before="0" w:after="0" w:line="259" w:lineRule="auto"/>
        <w:ind w:start="1541" w:end="5386" w:hanging="360"/>
        <w:jc w:val="left"/>
        <w:rPr>
          <w:b/>
          <w:sz w:val="22"/>
        </w:rPr>
      </w:pPr>
      <w:r>
        <w:rPr>
          <w:sz w:val="22"/>
        </w:rPr>
        <w:t xml:space="preserve">en </w:t>
      </w:r>
      <w:r>
        <w:rPr>
          <w:sz w:val="22"/>
        </w:rPr>
        <w:t xml:space="preserve">la </w:t>
      </w:r>
      <w:r>
        <w:rPr>
          <w:sz w:val="22"/>
        </w:rPr>
        <w:t xml:space="preserve">persona </w:t>
      </w:r>
      <w:r>
        <w:rPr>
          <w:sz w:val="22"/>
        </w:rPr>
        <w:t xml:space="preserve">de </w:t>
      </w:r>
      <w:r>
        <w:rPr>
          <w:sz w:val="22"/>
        </w:rPr>
        <w:t xml:space="preserve">la </w:t>
      </w:r>
      <w:r>
        <w:rPr>
          <w:b/>
          <w:sz w:val="22"/>
        </w:rPr>
        <w:t xml:space="preserve">Presidenta Ursula von der Leyen</w:t>
      </w:r>
    </w:p>
    <w:p>
      <w:pPr>
        <w:spacing w:before="0" w:line="259" w:lineRule="auto"/>
        <w:ind w:start="1541" w:end="3880" w:firstLine="0"/>
        <w:jc w:val="left"/>
        <w:rPr>
          <w:sz w:val="22"/>
        </w:rPr>
      </w:pPr>
      <w:r>
        <w:rPr>
          <w:sz w:val="22"/>
        </w:rPr>
        <w:t xml:space="preserve">correo electrónico: </w:t>
      </w:r>
      <w:hyperlink r:id="rId7">
        <w:r>
          <w:rPr>
            <w:sz w:val="22"/>
            <w:u w:val="single"/>
          </w:rPr>
          <w:t xml:space="preserve">ec-president-vdl@ec.europa.eu</w:t>
        </w:r>
      </w:hyperlink>
      <w:r>
        <w:rPr>
          <w:sz w:val="22"/>
        </w:rPr>
        <w:t xml:space="preserve"> correo certificado/recibo</w:t>
      </w:r>
    </w:p>
    <w:p>
      <w:pPr>
        <w:spacing w:before="0" w:line="240" w:lineRule="auto"/>
        <w:rPr>
          <w:sz w:val="25"/>
        </w:rPr>
      </w:pPr>
    </w:p>
    <w:p>
      <w:pPr>
        <w:pStyle w:val="ListParagraph"/>
        <w:numPr>
          <w:ilvl w:val="0"/>
          <w:numId w:val="1"/>
        </w:numPr>
        <w:tabs>
          <w:tab w:val="left" w:leader="none" w:pos="1541"/>
          <w:tab w:val="left" w:leader="none" w:pos="1542"/>
        </w:tabs>
        <w:spacing w:before="0" w:after="0" w:line="259" w:lineRule="auto"/>
        <w:ind w:start="1541" w:end="3772" w:hanging="360"/>
        <w:jc w:val="left"/>
        <w:rPr>
          <w:b/>
          <w:sz w:val="22"/>
        </w:rPr>
      </w:pPr>
      <w:r>
        <w:rPr>
          <w:sz w:val="22"/>
        </w:rPr>
        <w:t xml:space="preserve">en </w:t>
      </w:r>
      <w:r>
        <w:rPr>
          <w:sz w:val="22"/>
        </w:rPr>
        <w:t xml:space="preserve">la </w:t>
      </w:r>
      <w:r>
        <w:rPr>
          <w:sz w:val="22"/>
        </w:rPr>
        <w:t xml:space="preserve">persona </w:t>
      </w:r>
      <w:r>
        <w:rPr>
          <w:sz w:val="22"/>
        </w:rPr>
        <w:t xml:space="preserve">de </w:t>
      </w:r>
      <w:r>
        <w:rPr>
          <w:sz w:val="22"/>
        </w:rPr>
        <w:t xml:space="preserve">la </w:t>
      </w:r>
      <w:r>
        <w:rPr>
          <w:b/>
          <w:sz w:val="22"/>
        </w:rPr>
        <w:t xml:space="preserve">Comisaria </w:t>
      </w:r>
      <w:r>
        <w:rPr>
          <w:b/>
          <w:sz w:val="22"/>
        </w:rPr>
        <w:t xml:space="preserve">de </w:t>
      </w:r>
      <w:r>
        <w:rPr>
          <w:b/>
          <w:sz w:val="22"/>
        </w:rPr>
        <w:t xml:space="preserve">Sanidad Stella Kyriakides</w:t>
      </w:r>
    </w:p>
    <w:p>
      <w:pPr>
        <w:spacing w:before="0" w:line="259" w:lineRule="auto"/>
        <w:ind w:start="1541" w:end="3880" w:firstLine="0"/>
        <w:jc w:val="left"/>
        <w:rPr>
          <w:sz w:val="22"/>
        </w:rPr>
      </w:pPr>
      <w:r>
        <w:rPr>
          <w:sz w:val="22"/>
        </w:rPr>
        <w:t xml:space="preserve">correo electrónico: </w:t>
      </w:r>
      <w:hyperlink r:id="rId8">
        <w:r>
          <w:rPr>
            <w:sz w:val="22"/>
            <w:u w:val="single"/>
          </w:rPr>
          <w:t xml:space="preserve">cab-kryakides-contact@eu.europa.eu</w:t>
        </w:r>
      </w:hyperlink>
      <w:r>
        <w:rPr>
          <w:sz w:val="22"/>
        </w:rPr>
        <w:t xml:space="preserve"> correo certificado/recibo</w:t>
      </w:r>
    </w:p>
    <w:p>
      <w:pPr>
        <w:spacing w:before="0" w:line="240" w:lineRule="auto"/>
        <w:rPr>
          <w:sz w:val="24"/>
        </w:rPr>
      </w:pPr>
    </w:p>
    <w:p>
      <w:pPr>
        <w:spacing w:before="4" w:line="240" w:lineRule="auto"/>
        <w:rPr>
          <w:sz w:val="23"/>
        </w:rPr>
      </w:pPr>
    </w:p>
    <w:p>
      <w:pPr>
        <w:spacing w:before="0"/>
        <w:ind w:start="821" w:end="0" w:firstLine="0"/>
        <w:jc w:val="both"/>
        <w:rPr>
          <w:sz w:val="22"/>
        </w:rPr>
      </w:pPr>
      <w:r>
        <w:rPr>
          <w:sz w:val="22"/>
        </w:rPr>
        <w:t xml:space="preserve">A </w:t>
      </w:r>
      <w:r>
        <w:rPr>
          <w:spacing w:val="-5"/>
          <w:sz w:val="22"/>
        </w:rPr>
        <w:t xml:space="preserve">la</w:t>
      </w:r>
    </w:p>
    <w:p>
      <w:pPr>
        <w:spacing w:before="20"/>
        <w:ind w:start="821" w:end="0" w:firstLine="0"/>
        <w:jc w:val="both"/>
        <w:rPr>
          <w:b/>
          <w:sz w:val="22"/>
        </w:rPr>
      </w:pPr>
      <w:r>
        <w:rPr>
          <w:b/>
          <w:sz w:val="22"/>
        </w:rPr>
        <w:t xml:space="preserve">Agencia </w:t>
      </w:r>
      <w:r>
        <w:rPr>
          <w:b/>
          <w:sz w:val="22"/>
        </w:rPr>
        <w:t xml:space="preserve">Europea </w:t>
      </w:r>
      <w:r>
        <w:rPr>
          <w:b/>
          <w:sz w:val="22"/>
        </w:rPr>
        <w:t xml:space="preserve">del Medicamento </w:t>
      </w:r>
      <w:r>
        <w:rPr>
          <w:b/>
          <w:sz w:val="22"/>
        </w:rPr>
        <w:t xml:space="preserve">- </w:t>
      </w:r>
      <w:r>
        <w:rPr>
          <w:b/>
          <w:spacing w:val="-5"/>
          <w:sz w:val="22"/>
        </w:rPr>
        <w:t xml:space="preserve">EMA</w:t>
      </w:r>
    </w:p>
    <w:p>
      <w:pPr>
        <w:spacing w:before="21" w:line="259" w:lineRule="auto"/>
        <w:ind w:start="821" w:end="6607" w:firstLine="0"/>
        <w:jc w:val="both"/>
        <w:rPr>
          <w:sz w:val="22"/>
        </w:rPr>
      </w:pPr>
      <w:r>
        <w:rPr>
          <w:sz w:val="22"/>
        </w:rPr>
        <w:t xml:space="preserve">Domenico </w:t>
      </w:r>
      <w:r>
        <w:rPr>
          <w:sz w:val="22"/>
        </w:rPr>
        <w:t xml:space="preserve">Scarlattilaan </w:t>
      </w:r>
      <w:r>
        <w:rPr>
          <w:sz w:val="22"/>
        </w:rPr>
        <w:t xml:space="preserve">6 NL-1083 HS Amsterdam PAÍSES BAJOS</w:t>
      </w:r>
    </w:p>
    <w:p>
      <w:pPr>
        <w:spacing w:before="0" w:line="252" w:lineRule="exact"/>
        <w:ind w:start="821" w:end="0" w:firstLine="0"/>
        <w:jc w:val="both"/>
        <w:rPr>
          <w:sz w:val="22"/>
        </w:rPr>
      </w:pPr>
      <w:r>
        <w:rPr>
          <w:sz w:val="22"/>
        </w:rPr>
        <w:t xml:space="preserve">correo electrónico: </w:t>
      </w:r>
      <w:hyperlink r:id="rId9">
        <w:r>
          <w:rPr>
            <w:spacing w:val="-2"/>
            <w:sz w:val="22"/>
          </w:rPr>
          <w:t xml:space="preserve">info@ema.europa.com</w:t>
        </w:r>
      </w:hyperlink>
    </w:p>
    <w:p>
      <w:pPr>
        <w:spacing w:before="0" w:line="240" w:lineRule="auto"/>
        <w:rPr>
          <w:sz w:val="24"/>
        </w:rPr>
      </w:pPr>
    </w:p>
    <w:p>
      <w:pPr>
        <w:spacing w:before="5" w:line="240" w:lineRule="auto"/>
        <w:rPr>
          <w:sz w:val="26"/>
        </w:rPr>
      </w:pPr>
    </w:p>
    <w:p>
      <w:pPr>
        <w:pStyle w:val="ListParagraph"/>
        <w:numPr>
          <w:ilvl w:val="0"/>
          <w:numId w:val="2"/>
        </w:numPr>
        <w:tabs>
          <w:tab w:val="left" w:leader="none" w:pos="1181"/>
          <w:tab w:val="left" w:leader="none" w:pos="1182"/>
        </w:tabs>
        <w:spacing w:before="0" w:after="0" w:line="259" w:lineRule="auto"/>
        <w:ind w:start="1181" w:end="2701"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Director </w:t>
      </w:r>
      <w:r>
        <w:rPr>
          <w:b/>
          <w:sz w:val="22"/>
        </w:rPr>
        <w:t xml:space="preserve">Ejecutivo </w:t>
      </w:r>
      <w:r>
        <w:rPr>
          <w:b/>
          <w:sz w:val="22"/>
        </w:rPr>
        <w:t xml:space="preserve">de </w:t>
      </w:r>
      <w:r>
        <w:rPr>
          <w:b/>
          <w:sz w:val="22"/>
        </w:rPr>
        <w:t xml:space="preserve">la </w:t>
      </w:r>
      <w:r>
        <w:rPr>
          <w:b/>
          <w:sz w:val="22"/>
        </w:rPr>
        <w:t xml:space="preserve">EMA Emer Cooke</w:t>
      </w:r>
    </w:p>
    <w:p>
      <w:pPr>
        <w:spacing w:before="1" w:line="259" w:lineRule="auto"/>
        <w:ind w:start="1181" w:end="5194" w:firstLine="0"/>
        <w:jc w:val="left"/>
        <w:rPr>
          <w:sz w:val="22"/>
        </w:rPr>
      </w:pPr>
      <w:r>
        <w:rPr>
          <w:sz w:val="22"/>
        </w:rPr>
        <w:t xml:space="preserve">correo electrónico: </w:t>
      </w:r>
      <w:hyperlink r:id="rId10">
        <w:r>
          <w:rPr>
            <w:sz w:val="22"/>
            <w:u w:val="single"/>
          </w:rPr>
          <w:t xml:space="preserve">emer.cooke@ema.europa.eu</w:t>
        </w:r>
      </w:hyperlink>
      <w:r>
        <w:rPr>
          <w:sz w:val="22"/>
        </w:rPr>
        <w:t xml:space="preserve"> correo certificado/recibo</w:t>
      </w:r>
    </w:p>
    <w:p>
      <w:pPr>
        <w:spacing w:before="10" w:line="240" w:lineRule="auto"/>
        <w:rPr>
          <w:sz w:val="24"/>
        </w:rPr>
      </w:pPr>
    </w:p>
    <w:p>
      <w:pPr>
        <w:pStyle w:val="ListParagraph"/>
        <w:numPr>
          <w:ilvl w:val="0"/>
          <w:numId w:val="2"/>
        </w:numPr>
        <w:tabs>
          <w:tab w:val="left" w:leader="none" w:pos="1181"/>
          <w:tab w:val="left" w:leader="none" w:pos="1182"/>
        </w:tabs>
        <w:spacing w:before="0" w:after="0" w:line="259" w:lineRule="auto"/>
        <w:ind w:start="1181" w:end="3090"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Jefe </w:t>
      </w:r>
      <w:r>
        <w:rPr>
          <w:b/>
          <w:sz w:val="22"/>
        </w:rPr>
        <w:t xml:space="preserve">de la </w:t>
      </w:r>
      <w:r>
        <w:rPr>
          <w:b/>
          <w:sz w:val="22"/>
        </w:rPr>
        <w:t xml:space="preserve">División de </w:t>
      </w:r>
      <w:r>
        <w:rPr>
          <w:b/>
          <w:sz w:val="22"/>
        </w:rPr>
        <w:t xml:space="preserve">Medicamentos </w:t>
      </w:r>
      <w:r>
        <w:rPr>
          <w:b/>
          <w:sz w:val="22"/>
        </w:rPr>
        <w:t xml:space="preserve">Humanos </w:t>
      </w:r>
      <w:r>
        <w:rPr>
          <w:b/>
          <w:sz w:val="22"/>
        </w:rPr>
        <w:t xml:space="preserve">Alexis Nolte</w:t>
      </w:r>
    </w:p>
    <w:p>
      <w:pPr>
        <w:spacing w:before="1" w:line="259" w:lineRule="auto"/>
        <w:ind w:start="1181" w:end="5194" w:firstLine="0"/>
        <w:jc w:val="left"/>
        <w:rPr>
          <w:sz w:val="22"/>
        </w:rPr>
      </w:pPr>
      <w:r>
        <w:rPr>
          <w:sz w:val="22"/>
        </w:rPr>
        <w:t xml:space="preserve">correo electrónico: </w:t>
      </w:r>
      <w:hyperlink r:id="rId11">
        <w:r>
          <w:rPr>
            <w:sz w:val="22"/>
            <w:u w:val="single"/>
          </w:rPr>
          <w:t xml:space="preserve">alexis.nolte@ema.europa.eu</w:t>
        </w:r>
      </w:hyperlink>
      <w:r>
        <w:rPr>
          <w:sz w:val="22"/>
        </w:rPr>
        <w:t xml:space="preserve"> correo certificado/recibo</w:t>
      </w:r>
    </w:p>
    <w:p>
      <w:pPr>
        <w:spacing w:before="11" w:line="240" w:lineRule="auto"/>
        <w:rPr>
          <w:sz w:val="24"/>
        </w:rPr>
      </w:pPr>
    </w:p>
    <w:p>
      <w:pPr>
        <w:pStyle w:val="ListParagraph"/>
        <w:numPr>
          <w:ilvl w:val="0"/>
          <w:numId w:val="2"/>
        </w:numPr>
        <w:tabs>
          <w:tab w:val="left" w:leader="none" w:pos="1181"/>
          <w:tab w:val="left" w:leader="none" w:pos="1182"/>
        </w:tabs>
        <w:spacing w:before="0" w:after="0" w:line="259" w:lineRule="auto"/>
        <w:ind w:start="1181" w:end="1172"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Jefe </w:t>
      </w:r>
      <w:r>
        <w:rPr>
          <w:b/>
          <w:sz w:val="22"/>
        </w:rPr>
        <w:t xml:space="preserve">de </w:t>
      </w:r>
      <w:r>
        <w:rPr>
          <w:b/>
          <w:sz w:val="22"/>
        </w:rPr>
        <w:t xml:space="preserve">Vacunas </w:t>
      </w:r>
      <w:r>
        <w:rPr>
          <w:b/>
          <w:sz w:val="22"/>
        </w:rPr>
        <w:t xml:space="preserve">y </w:t>
      </w:r>
      <w:r>
        <w:rPr>
          <w:b/>
          <w:sz w:val="22"/>
        </w:rPr>
        <w:t xml:space="preserve">Terapias </w:t>
      </w:r>
      <w:r>
        <w:rPr>
          <w:b/>
          <w:sz w:val="22"/>
        </w:rPr>
        <w:t xml:space="preserve">para </w:t>
      </w:r>
      <w:r>
        <w:rPr>
          <w:b/>
          <w:sz w:val="22"/>
        </w:rPr>
        <w:t xml:space="preserve">enfermedades </w:t>
      </w:r>
      <w:r>
        <w:rPr>
          <w:b/>
          <w:sz w:val="22"/>
        </w:rPr>
        <w:t xml:space="preserve">infecciosas </w:t>
      </w:r>
      <w:r>
        <w:rPr>
          <w:b/>
          <w:sz w:val="22"/>
        </w:rPr>
        <w:t xml:space="preserve">Irene Rager</w:t>
      </w:r>
    </w:p>
    <w:p>
      <w:pPr>
        <w:spacing w:before="1" w:line="259" w:lineRule="auto"/>
        <w:ind w:start="1181" w:end="5194" w:firstLine="0"/>
        <w:jc w:val="left"/>
        <w:rPr>
          <w:sz w:val="22"/>
        </w:rPr>
      </w:pPr>
      <w:r>
        <w:rPr>
          <w:sz w:val="22"/>
        </w:rPr>
        <w:t xml:space="preserve">correo electrónico: </w:t>
      </w:r>
      <w:hyperlink r:id="rId12">
        <w:r>
          <w:rPr>
            <w:sz w:val="22"/>
            <w:u w:val="single"/>
          </w:rPr>
          <w:t xml:space="preserve">irene.rager@ema.europa.eu</w:t>
        </w:r>
      </w:hyperlink>
      <w:r>
        <w:rPr>
          <w:sz w:val="22"/>
        </w:rPr>
        <w:t xml:space="preserve"> correo certificado/recibo</w:t>
      </w:r>
    </w:p>
    <w:p>
      <w:pPr>
        <w:spacing w:before="10" w:line="240" w:lineRule="auto"/>
        <w:rPr>
          <w:sz w:val="24"/>
        </w:rPr>
      </w:pPr>
    </w:p>
    <w:p>
      <w:pPr>
        <w:pStyle w:val="ListParagraph"/>
        <w:numPr>
          <w:ilvl w:val="0"/>
          <w:numId w:val="2"/>
        </w:numPr>
        <w:tabs>
          <w:tab w:val="left" w:leader="none" w:pos="1181"/>
          <w:tab w:val="left" w:leader="none" w:pos="1182"/>
        </w:tabs>
        <w:spacing w:before="0" w:after="0" w:line="259" w:lineRule="auto"/>
        <w:ind w:start="1181" w:end="1855" w:hanging="360"/>
        <w:jc w:val="left"/>
        <w:rPr>
          <w:b/>
          <w:sz w:val="22"/>
        </w:rPr>
      </w:pPr>
      <w:r>
        <w:rPr>
          <w:sz w:val="22"/>
        </w:rPr>
        <w:t xml:space="preserve">en </w:t>
      </w:r>
      <w:r>
        <w:rPr>
          <w:sz w:val="22"/>
        </w:rPr>
        <w:t xml:space="preserve">la </w:t>
      </w:r>
      <w:r>
        <w:rPr>
          <w:sz w:val="22"/>
        </w:rPr>
        <w:t xml:space="preserve">persona </w:t>
      </w:r>
      <w:r>
        <w:rPr>
          <w:sz w:val="22"/>
        </w:rPr>
        <w:t xml:space="preserve">de </w:t>
      </w:r>
      <w:r>
        <w:rPr>
          <w:sz w:val="22"/>
        </w:rPr>
        <w:t xml:space="preserve">la </w:t>
      </w:r>
      <w:r>
        <w:rPr>
          <w:b/>
          <w:sz w:val="22"/>
        </w:rPr>
        <w:t xml:space="preserve">Jefa </w:t>
      </w:r>
      <w:r>
        <w:rPr>
          <w:b/>
          <w:sz w:val="22"/>
        </w:rPr>
        <w:t xml:space="preserve">del </w:t>
      </w:r>
      <w:r>
        <w:rPr>
          <w:b/>
          <w:sz w:val="22"/>
        </w:rPr>
        <w:t xml:space="preserve">Departamento de </w:t>
      </w:r>
      <w:r>
        <w:rPr>
          <w:b/>
          <w:sz w:val="22"/>
        </w:rPr>
        <w:t xml:space="preserve">"</w:t>
      </w:r>
      <w:r>
        <w:rPr>
          <w:b/>
          <w:sz w:val="22"/>
        </w:rPr>
        <w:t xml:space="preserve">Terapias </w:t>
      </w:r>
      <w:r>
        <w:rPr>
          <w:b/>
          <w:sz w:val="22"/>
        </w:rPr>
        <w:t xml:space="preserve">Avanzadas" </w:t>
      </w:r>
      <w:r>
        <w:rPr>
          <w:b/>
          <w:sz w:val="22"/>
        </w:rPr>
        <w:t xml:space="preserve">Ana Hidalgo-Simon</w:t>
      </w:r>
    </w:p>
    <w:p>
      <w:pPr>
        <w:spacing w:before="1"/>
        <w:ind w:start="1181" w:end="0" w:firstLine="0"/>
        <w:jc w:val="left"/>
        <w:rPr>
          <w:sz w:val="22"/>
        </w:rPr>
      </w:pPr>
      <w:r>
        <w:rPr>
          <w:spacing w:val="-2"/>
          <w:sz w:val="22"/>
        </w:rPr>
        <w:t xml:space="preserve">correo electrónico: </w:t>
      </w:r>
      <w:hyperlink r:id="rId13">
        <w:r>
          <w:rPr>
            <w:spacing w:val="-2"/>
            <w:sz w:val="22"/>
            <w:u w:val="single"/>
          </w:rPr>
          <w:t xml:space="preserve">ana.hidalgo-simon@ema.europa.eu</w:t>
        </w:r>
      </w:hyperlink>
    </w:p>
    <w:p>
      <w:pPr>
        <w:spacing w:after="0"/>
        <w:jc w:val="left"/>
        <w:rPr>
          <w:sz w:val="22"/>
        </w:rPr>
        <w:sectPr>
          <w:footerReference w:type="default" r:id="rId5"/>
          <w:type w:val="continuous"/>
          <w:pgSz w:w="11900" w:h="16850"/>
          <w:pgMar w:top="1420" w:right="1000" w:bottom="800" w:left="1020" w:header="0" w:footer="605"/>
          <w:pgNumType w:start="1"/>
        </w:sectPr>
      </w:pPr>
    </w:p>
    <w:p>
      <w:pPr>
        <w:spacing w:before="80"/>
        <w:ind w:start="1181" w:end="0" w:firstLine="0"/>
        <w:jc w:val="left"/>
        <w:rPr>
          <w:sz w:val="22"/>
        </w:rPr>
      </w:pPr>
      <w:r>
        <w:rPr>
          <w:sz w:val="22"/>
        </w:rPr>
        <w:t xml:space="preserve">correo </w:t>
      </w:r>
      <w:r>
        <w:rPr>
          <w:sz w:val="22"/>
        </w:rPr>
        <w:t xml:space="preserve">certificado </w:t>
      </w:r>
      <w:r>
        <w:rPr>
          <w:sz w:val="22"/>
        </w:rPr>
        <w:t xml:space="preserve">/ </w:t>
      </w:r>
      <w:r>
        <w:rPr>
          <w:spacing w:val="-2"/>
          <w:sz w:val="22"/>
        </w:rPr>
        <w:t xml:space="preserve">acuse de recibo</w:t>
      </w:r>
    </w:p>
    <w:p>
      <w:pPr>
        <w:spacing w:before="7" w:line="240" w:lineRule="auto"/>
        <w:rPr>
          <w:sz w:val="26"/>
        </w:rPr>
      </w:pPr>
    </w:p>
    <w:p>
      <w:pPr>
        <w:pStyle w:val="ListParagraph"/>
        <w:numPr>
          <w:ilvl w:val="0"/>
          <w:numId w:val="2"/>
        </w:numPr>
        <w:tabs>
          <w:tab w:val="left" w:leader="none" w:pos="1181"/>
          <w:tab w:val="left" w:leader="none" w:pos="1182"/>
        </w:tabs>
        <w:spacing w:before="0" w:after="0" w:line="259" w:lineRule="auto"/>
        <w:ind w:start="1181" w:end="485"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Jefe </w:t>
      </w:r>
      <w:r>
        <w:rPr>
          <w:b/>
          <w:sz w:val="22"/>
        </w:rPr>
        <w:t xml:space="preserve">de </w:t>
      </w:r>
      <w:r>
        <w:rPr>
          <w:b/>
          <w:sz w:val="22"/>
        </w:rPr>
        <w:t xml:space="preserve">Desarrollo de </w:t>
      </w:r>
      <w:r>
        <w:rPr>
          <w:b/>
          <w:sz w:val="22"/>
        </w:rPr>
        <w:t xml:space="preserve">Productos </w:t>
      </w:r>
      <w:r>
        <w:rPr>
          <w:b/>
          <w:sz w:val="22"/>
        </w:rPr>
        <w:t xml:space="preserve">del </w:t>
      </w:r>
      <w:r>
        <w:rPr>
          <w:b/>
          <w:sz w:val="22"/>
        </w:rPr>
        <w:t xml:space="preserve">Departamento de Generación de Pruebas </w:t>
      </w:r>
      <w:r>
        <w:rPr>
          <w:b/>
          <w:sz w:val="22"/>
        </w:rPr>
        <w:t xml:space="preserve">Científicas</w:t>
      </w:r>
    </w:p>
    <w:p>
      <w:pPr>
        <w:spacing w:before="1"/>
        <w:ind w:start="1181" w:end="0" w:firstLine="0"/>
        <w:jc w:val="left"/>
        <w:rPr>
          <w:b/>
          <w:sz w:val="22"/>
        </w:rPr>
      </w:pPr>
      <w:r>
        <w:rPr>
          <w:b/>
          <w:sz w:val="22"/>
        </w:rPr>
        <w:t xml:space="preserve">Michael </w:t>
      </w:r>
      <w:r>
        <w:rPr>
          <w:b/>
          <w:spacing w:val="-2"/>
          <w:sz w:val="22"/>
        </w:rPr>
        <w:t xml:space="preserve">Berntgen</w:t>
      </w:r>
    </w:p>
    <w:p>
      <w:pPr>
        <w:spacing w:before="21" w:line="259" w:lineRule="auto"/>
        <w:ind w:start="1246" w:end="3880" w:firstLine="0"/>
        <w:jc w:val="left"/>
        <w:rPr>
          <w:sz w:val="22"/>
        </w:rPr>
      </w:pPr>
      <w:r>
        <w:rPr>
          <w:sz w:val="22"/>
        </w:rPr>
        <w:t xml:space="preserve">correo electrónico: </w:t>
      </w:r>
      <w:hyperlink r:id="rId14">
        <w:r>
          <w:rPr>
            <w:sz w:val="22"/>
            <w:u w:val="single"/>
          </w:rPr>
          <w:t xml:space="preserve">michael.berntgen@ema.europa.eu</w:t>
        </w:r>
      </w:hyperlink>
      <w:r>
        <w:rPr>
          <w:sz w:val="22"/>
        </w:rPr>
        <w:t xml:space="preserve"> correo certificado/recibo</w:t>
      </w:r>
    </w:p>
    <w:p>
      <w:pPr>
        <w:spacing w:before="10" w:line="240" w:lineRule="auto"/>
        <w:rPr>
          <w:sz w:val="24"/>
        </w:rPr>
      </w:pPr>
    </w:p>
    <w:p>
      <w:pPr>
        <w:pStyle w:val="ListParagraph"/>
        <w:numPr>
          <w:ilvl w:val="0"/>
          <w:numId w:val="2"/>
        </w:numPr>
        <w:tabs>
          <w:tab w:val="left" w:leader="none" w:pos="1181"/>
          <w:tab w:val="left" w:leader="none" w:pos="1182"/>
        </w:tabs>
        <w:spacing w:before="0" w:after="0" w:line="259" w:lineRule="auto"/>
        <w:ind w:start="1181" w:end="559"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Jefe </w:t>
      </w:r>
      <w:r>
        <w:rPr>
          <w:b/>
          <w:sz w:val="22"/>
        </w:rPr>
        <w:t xml:space="preserve">del </w:t>
      </w:r>
      <w:r>
        <w:rPr>
          <w:b/>
          <w:sz w:val="22"/>
        </w:rPr>
        <w:t xml:space="preserve">Departamento de </w:t>
      </w:r>
      <w:r>
        <w:rPr>
          <w:b/>
          <w:sz w:val="22"/>
        </w:rPr>
        <w:t xml:space="preserve">Farmacovigilancia </w:t>
      </w:r>
      <w:r>
        <w:rPr>
          <w:b/>
          <w:sz w:val="22"/>
        </w:rPr>
        <w:t xml:space="preserve">y </w:t>
      </w:r>
      <w:r>
        <w:rPr>
          <w:b/>
          <w:sz w:val="22"/>
        </w:rPr>
        <w:t xml:space="preserve">Epidemiología </w:t>
      </w:r>
      <w:r>
        <w:rPr>
          <w:b/>
          <w:sz w:val="22"/>
        </w:rPr>
        <w:t xml:space="preserve">- Departamento de Calidad y Seguridad de los Medicamentos (ad interim)</w:t>
      </w:r>
    </w:p>
    <w:p>
      <w:pPr>
        <w:spacing w:before="1"/>
        <w:ind w:start="1181" w:end="0" w:firstLine="0"/>
        <w:jc w:val="left"/>
        <w:rPr>
          <w:b/>
          <w:sz w:val="22"/>
        </w:rPr>
      </w:pPr>
      <w:r>
        <w:rPr>
          <w:b/>
          <w:sz w:val="22"/>
        </w:rPr>
        <w:t xml:space="preserve">Georgy </w:t>
      </w:r>
      <w:r>
        <w:rPr>
          <w:b/>
          <w:spacing w:val="-2"/>
          <w:sz w:val="22"/>
        </w:rPr>
        <w:t xml:space="preserve">Genov</w:t>
      </w:r>
    </w:p>
    <w:p>
      <w:pPr>
        <w:spacing w:before="18" w:line="259" w:lineRule="auto"/>
        <w:ind w:start="1181" w:end="4773" w:firstLine="0"/>
        <w:jc w:val="left"/>
        <w:rPr>
          <w:sz w:val="22"/>
        </w:rPr>
      </w:pPr>
      <w:r>
        <w:rPr>
          <w:sz w:val="22"/>
        </w:rPr>
        <w:t xml:space="preserve">correo electrónico: </w:t>
      </w:r>
      <w:hyperlink r:id="rId15">
        <w:r>
          <w:rPr>
            <w:sz w:val="22"/>
          </w:rPr>
          <w:t xml:space="preserve">georgy.genov@ema.europa.eu</w:t>
        </w:r>
      </w:hyperlink>
      <w:r>
        <w:rPr>
          <w:sz w:val="22"/>
        </w:rPr>
        <w:t xml:space="preserve"> correo certificado/recibo</w:t>
      </w:r>
    </w:p>
    <w:p>
      <w:pPr>
        <w:spacing w:before="2" w:line="240" w:lineRule="auto"/>
        <w:rPr>
          <w:sz w:val="25"/>
        </w:rPr>
      </w:pPr>
    </w:p>
    <w:p>
      <w:pPr>
        <w:pStyle w:val="ListParagraph"/>
        <w:numPr>
          <w:ilvl w:val="0"/>
          <w:numId w:val="2"/>
        </w:numPr>
        <w:tabs>
          <w:tab w:val="left" w:leader="none" w:pos="1181"/>
          <w:tab w:val="left" w:leader="none" w:pos="1182"/>
        </w:tabs>
        <w:spacing w:before="0" w:after="0" w:line="240" w:lineRule="auto"/>
        <w:ind w:start="1181" w:end="0" w:hanging="361"/>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Jefe </w:t>
      </w:r>
      <w:r>
        <w:rPr>
          <w:b/>
          <w:sz w:val="22"/>
        </w:rPr>
        <w:t xml:space="preserve">del </w:t>
      </w:r>
      <w:r>
        <w:rPr>
          <w:b/>
          <w:sz w:val="22"/>
        </w:rPr>
        <w:t xml:space="preserve">Departamento </w:t>
      </w:r>
      <w:r>
        <w:rPr>
          <w:b/>
          <w:sz w:val="22"/>
        </w:rPr>
        <w:t xml:space="preserve">de Garantía de Calidad </w:t>
      </w:r>
      <w:r>
        <w:rPr>
          <w:b/>
          <w:sz w:val="22"/>
        </w:rPr>
        <w:t xml:space="preserve">(ad </w:t>
      </w:r>
      <w:r>
        <w:rPr>
          <w:b/>
          <w:spacing w:val="-2"/>
          <w:sz w:val="22"/>
        </w:rPr>
        <w:t xml:space="preserve">interim)</w:t>
      </w:r>
    </w:p>
    <w:p>
      <w:pPr>
        <w:spacing w:before="21"/>
        <w:ind w:start="1181" w:end="0" w:firstLine="0"/>
        <w:jc w:val="left"/>
        <w:rPr>
          <w:b/>
          <w:sz w:val="22"/>
        </w:rPr>
      </w:pPr>
      <w:r>
        <w:rPr>
          <w:b/>
          <w:sz w:val="22"/>
        </w:rPr>
        <w:t xml:space="preserve">Alexios </w:t>
      </w:r>
      <w:r>
        <w:rPr>
          <w:b/>
          <w:spacing w:val="-2"/>
          <w:sz w:val="22"/>
        </w:rPr>
        <w:t xml:space="preserve">Skarlatos</w:t>
      </w:r>
    </w:p>
    <w:p>
      <w:pPr>
        <w:spacing w:before="18" w:line="259" w:lineRule="auto"/>
        <w:ind w:start="1181" w:end="3880" w:firstLine="0"/>
        <w:jc w:val="left"/>
        <w:rPr>
          <w:sz w:val="22"/>
        </w:rPr>
      </w:pPr>
      <w:r>
        <w:rPr>
          <w:sz w:val="22"/>
        </w:rPr>
        <w:t xml:space="preserve">correo electrónico: </w:t>
      </w:r>
      <w:hyperlink r:id="rId16">
        <w:r>
          <w:rPr>
            <w:sz w:val="22"/>
          </w:rPr>
          <w:t xml:space="preserve">alexios.skarlatos@ema.europa.eu</w:t>
        </w:r>
      </w:hyperlink>
      <w:r>
        <w:rPr>
          <w:sz w:val="22"/>
        </w:rPr>
        <w:t xml:space="preserve"> correo certificado/recibo</w:t>
      </w:r>
    </w:p>
    <w:p>
      <w:pPr>
        <w:spacing w:before="1" w:line="240" w:lineRule="auto"/>
        <w:rPr>
          <w:sz w:val="25"/>
        </w:rPr>
      </w:pPr>
    </w:p>
    <w:p>
      <w:pPr>
        <w:pStyle w:val="ListParagraph"/>
        <w:numPr>
          <w:ilvl w:val="0"/>
          <w:numId w:val="2"/>
        </w:numPr>
        <w:tabs>
          <w:tab w:val="left" w:leader="none" w:pos="1181"/>
          <w:tab w:val="left" w:leader="none" w:pos="1182"/>
        </w:tabs>
        <w:spacing w:before="0" w:after="0" w:line="259" w:lineRule="auto"/>
        <w:ind w:start="1181" w:end="3592"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Jefe </w:t>
      </w:r>
      <w:r>
        <w:rPr>
          <w:b/>
          <w:sz w:val="22"/>
        </w:rPr>
        <w:t xml:space="preserve">de </w:t>
      </w:r>
      <w:r>
        <w:rPr>
          <w:b/>
          <w:sz w:val="22"/>
        </w:rPr>
        <w:t xml:space="preserve">la </w:t>
      </w:r>
      <w:r>
        <w:rPr>
          <w:b/>
          <w:sz w:val="22"/>
        </w:rPr>
        <w:t xml:space="preserve">Oficina de </w:t>
      </w:r>
      <w:r>
        <w:rPr>
          <w:b/>
          <w:sz w:val="22"/>
        </w:rPr>
        <w:t xml:space="preserve">Procedimientos </w:t>
      </w:r>
      <w:r>
        <w:rPr>
          <w:b/>
          <w:sz w:val="22"/>
        </w:rPr>
        <w:t xml:space="preserve">Alberto Ganan Jimenenz</w:t>
      </w:r>
    </w:p>
    <w:p>
      <w:pPr>
        <w:spacing w:before="0" w:line="259" w:lineRule="auto"/>
        <w:ind w:start="1181" w:end="4773" w:firstLine="0"/>
        <w:jc w:val="left"/>
        <w:rPr>
          <w:sz w:val="22"/>
        </w:rPr>
      </w:pPr>
      <w:r>
        <w:rPr>
          <w:sz w:val="22"/>
        </w:rPr>
        <w:t xml:space="preserve">correo electrónico: </w:t>
      </w:r>
      <w:hyperlink r:id="rId17">
        <w:r>
          <w:rPr>
            <w:sz w:val="22"/>
            <w:u w:val="single"/>
          </w:rPr>
          <w:t xml:space="preserve">Alberto.ganan@ema.europa.eu</w:t>
        </w:r>
      </w:hyperlink>
      <w:r>
        <w:rPr>
          <w:sz w:val="22"/>
        </w:rPr>
        <w:t xml:space="preserve"> correo certificado/recibo</w:t>
      </w:r>
    </w:p>
    <w:p>
      <w:pPr>
        <w:spacing w:before="0" w:line="240" w:lineRule="auto"/>
        <w:rPr>
          <w:sz w:val="25"/>
        </w:rPr>
      </w:pPr>
    </w:p>
    <w:p>
      <w:pPr>
        <w:pStyle w:val="ListParagraph"/>
        <w:numPr>
          <w:ilvl w:val="0"/>
          <w:numId w:val="2"/>
        </w:numPr>
        <w:tabs>
          <w:tab w:val="left" w:leader="none" w:pos="1181"/>
          <w:tab w:val="left" w:leader="none" w:pos="1182"/>
        </w:tabs>
        <w:spacing w:before="0" w:after="0" w:line="259" w:lineRule="auto"/>
        <w:ind w:start="1181" w:end="2406"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Jefe </w:t>
      </w:r>
      <w:r>
        <w:rPr>
          <w:b/>
          <w:sz w:val="22"/>
        </w:rPr>
        <w:t xml:space="preserve">de </w:t>
      </w:r>
      <w:r>
        <w:rPr>
          <w:b/>
          <w:sz w:val="22"/>
        </w:rPr>
        <w:t xml:space="preserve">Revisión </w:t>
      </w:r>
      <w:r>
        <w:rPr>
          <w:b/>
          <w:sz w:val="22"/>
        </w:rPr>
        <w:t xml:space="preserve">y </w:t>
      </w:r>
      <w:r>
        <w:rPr>
          <w:b/>
          <w:sz w:val="22"/>
        </w:rPr>
        <w:t xml:space="preserve">Normas de </w:t>
      </w:r>
      <w:r>
        <w:rPr>
          <w:b/>
          <w:sz w:val="22"/>
        </w:rPr>
        <w:t xml:space="preserve">Etiquetado </w:t>
      </w:r>
      <w:r>
        <w:rPr>
          <w:b/>
          <w:sz w:val="22"/>
        </w:rPr>
        <w:t xml:space="preserve">Alexios Skarlatos</w:t>
      </w:r>
    </w:p>
    <w:p>
      <w:pPr>
        <w:spacing w:before="0" w:line="259" w:lineRule="auto"/>
        <w:ind w:start="1181" w:end="3880" w:firstLine="0"/>
        <w:jc w:val="left"/>
        <w:rPr>
          <w:sz w:val="22"/>
        </w:rPr>
      </w:pPr>
      <w:r>
        <w:rPr>
          <w:sz w:val="22"/>
        </w:rPr>
        <w:t xml:space="preserve">correo electrónico: </w:t>
      </w:r>
      <w:hyperlink r:id="rId16">
        <w:r>
          <w:rPr>
            <w:sz w:val="22"/>
            <w:u w:val="single"/>
          </w:rPr>
          <w:t xml:space="preserve">alexios.skarlatos@ema.europa.eu</w:t>
        </w:r>
      </w:hyperlink>
      <w:r>
        <w:rPr>
          <w:sz w:val="22"/>
        </w:rPr>
        <w:t xml:space="preserve"> correo certificado/recibo</w:t>
      </w:r>
    </w:p>
    <w:p>
      <w:pPr>
        <w:spacing w:before="0" w:line="240" w:lineRule="auto"/>
        <w:rPr>
          <w:sz w:val="25"/>
        </w:rPr>
      </w:pPr>
    </w:p>
    <w:p>
      <w:pPr>
        <w:pStyle w:val="ListParagraph"/>
        <w:numPr>
          <w:ilvl w:val="0"/>
          <w:numId w:val="2"/>
        </w:numPr>
        <w:tabs>
          <w:tab w:val="left" w:leader="none" w:pos="1181"/>
          <w:tab w:val="left" w:leader="none" w:pos="1182"/>
        </w:tabs>
        <w:spacing w:before="0" w:after="0" w:line="256" w:lineRule="auto"/>
        <w:ind w:start="1181" w:end="3972"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Jefe </w:t>
      </w:r>
      <w:r>
        <w:rPr>
          <w:b/>
          <w:sz w:val="22"/>
        </w:rPr>
        <w:t xml:space="preserve">de </w:t>
      </w:r>
      <w:r>
        <w:rPr>
          <w:b/>
          <w:sz w:val="22"/>
        </w:rPr>
        <w:t xml:space="preserve">Asuntos </w:t>
      </w:r>
      <w:r>
        <w:rPr>
          <w:b/>
          <w:sz w:val="22"/>
        </w:rPr>
        <w:t xml:space="preserve">Reglamentarios </w:t>
      </w:r>
      <w:r>
        <w:rPr>
          <w:b/>
          <w:sz w:val="22"/>
        </w:rPr>
        <w:t xml:space="preserve">Thomas Girard</w:t>
      </w:r>
    </w:p>
    <w:p>
      <w:pPr>
        <w:spacing w:before="3" w:line="259" w:lineRule="auto"/>
        <w:ind w:start="1181" w:end="4773" w:firstLine="0"/>
        <w:jc w:val="left"/>
        <w:rPr>
          <w:sz w:val="22"/>
        </w:rPr>
      </w:pPr>
      <w:r>
        <w:rPr>
          <w:sz w:val="22"/>
        </w:rPr>
        <w:t xml:space="preserve">correo electrónico: </w:t>
      </w:r>
      <w:hyperlink r:id="rId18">
        <w:r>
          <w:rPr>
            <w:sz w:val="22"/>
            <w:u w:val="single"/>
          </w:rPr>
          <w:t xml:space="preserve">thomas.girard@ema.europa.eu</w:t>
        </w:r>
      </w:hyperlink>
      <w:r>
        <w:rPr>
          <w:sz w:val="22"/>
        </w:rPr>
        <w:t xml:space="preserve"> correo certificado/recibo</w:t>
      </w:r>
    </w:p>
    <w:p>
      <w:pPr>
        <w:spacing w:before="0" w:line="240" w:lineRule="auto"/>
        <w:rPr>
          <w:sz w:val="24"/>
        </w:rPr>
      </w:pPr>
    </w:p>
    <w:p>
      <w:pPr>
        <w:spacing w:before="2" w:line="240" w:lineRule="auto"/>
        <w:rPr>
          <w:sz w:val="27"/>
        </w:rPr>
      </w:pPr>
    </w:p>
    <w:p>
      <w:pPr>
        <w:pStyle w:val="ListParagraph"/>
        <w:numPr>
          <w:ilvl w:val="0"/>
          <w:numId w:val="3"/>
        </w:numPr>
        <w:tabs>
          <w:tab w:val="left" w:leader="none" w:pos="834"/>
        </w:tabs>
        <w:spacing w:before="1" w:after="0" w:line="240" w:lineRule="auto"/>
        <w:ind w:start="833" w:end="0" w:hanging="361"/>
        <w:jc w:val="left"/>
        <w:rPr>
          <w:sz w:val="22"/>
        </w:rPr>
      </w:pPr>
      <w:r>
        <w:rPr>
          <w:sz w:val="22"/>
        </w:rPr>
        <w:t xml:space="preserve">A </w:t>
      </w:r>
      <w:r>
        <w:rPr>
          <w:spacing w:val="-5"/>
          <w:sz w:val="22"/>
        </w:rPr>
        <w:t xml:space="preserve">la</w:t>
      </w:r>
    </w:p>
    <w:p>
      <w:pPr>
        <w:spacing w:before="7"/>
        <w:ind w:start="833" w:end="0" w:firstLine="0"/>
        <w:jc w:val="left"/>
        <w:rPr>
          <w:b/>
          <w:sz w:val="22"/>
        </w:rPr>
      </w:pPr>
      <w:r>
        <w:rPr>
          <w:b/>
          <w:sz w:val="22"/>
        </w:rPr>
        <w:t xml:space="preserve">Ministerio </w:t>
      </w:r>
      <w:r>
        <w:rPr>
          <w:b/>
          <w:sz w:val="22"/>
        </w:rPr>
        <w:t xml:space="preserve">de </w:t>
      </w:r>
      <w:r>
        <w:rPr>
          <w:b/>
          <w:spacing w:val="-2"/>
          <w:sz w:val="22"/>
        </w:rPr>
        <w:t xml:space="preserve">Sanidad</w:t>
      </w:r>
    </w:p>
    <w:p>
      <w:pPr>
        <w:spacing w:before="21" w:line="259" w:lineRule="auto"/>
        <w:ind w:start="821" w:end="6204" w:firstLine="0"/>
        <w:jc w:val="left"/>
        <w:rPr>
          <w:sz w:val="22"/>
        </w:rPr>
      </w:pPr>
      <w:r>
        <w:rPr>
          <w:sz w:val="22"/>
        </w:rPr>
        <w:t xml:space="preserve">Viale Giorgio Ribotta, 5 00144 </w:t>
      </w:r>
      <w:r>
        <w:rPr>
          <w:sz w:val="22"/>
        </w:rPr>
        <w:t xml:space="preserve">ROMA </w:t>
      </w:r>
      <w:r>
        <w:rPr>
          <w:sz w:val="22"/>
        </w:rPr>
        <w:t xml:space="preserve">(RM)-ITALIA</w:t>
      </w:r>
    </w:p>
    <w:p>
      <w:pPr>
        <w:spacing w:before="1"/>
        <w:ind w:start="821" w:end="0" w:firstLine="0"/>
        <w:jc w:val="left"/>
        <w:rPr>
          <w:sz w:val="22"/>
        </w:rPr>
      </w:pPr>
      <w:r>
        <w:rPr>
          <w:sz w:val="22"/>
        </w:rPr>
        <w:t xml:space="preserve">correo electrónico </w:t>
      </w:r>
      <w:r>
        <w:rPr>
          <w:sz w:val="22"/>
        </w:rPr>
        <w:t xml:space="preserve">registrado</w:t>
      </w:r>
      <w:r>
        <w:rPr>
          <w:sz w:val="22"/>
        </w:rPr>
        <w:t xml:space="preserve">: </w:t>
      </w:r>
      <w:hyperlink r:id="rId19">
        <w:r>
          <w:rPr>
            <w:spacing w:val="-2"/>
            <w:sz w:val="22"/>
          </w:rPr>
          <w:t xml:space="preserve">seggen@postacert.sanita.it</w:t>
        </w:r>
      </w:hyperlink>
    </w:p>
    <w:p>
      <w:pPr>
        <w:spacing w:before="7" w:line="240" w:lineRule="auto"/>
        <w:rPr>
          <w:sz w:val="26"/>
        </w:rPr>
      </w:pPr>
    </w:p>
    <w:p>
      <w:pPr>
        <w:pStyle w:val="ListParagraph"/>
        <w:numPr>
          <w:ilvl w:val="1"/>
          <w:numId w:val="3"/>
        </w:numPr>
        <w:tabs>
          <w:tab w:val="left" w:leader="none" w:pos="1181"/>
          <w:tab w:val="left" w:leader="none" w:pos="1182"/>
        </w:tabs>
        <w:spacing w:before="1" w:after="0" w:line="259" w:lineRule="auto"/>
        <w:ind w:start="1181" w:end="5905"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Ministro Roberto Speranza</w:t>
      </w:r>
    </w:p>
    <w:p>
      <w:pPr>
        <w:spacing w:before="0" w:line="259" w:lineRule="auto"/>
        <w:ind w:start="1181" w:end="5616" w:firstLine="0"/>
        <w:jc w:val="left"/>
        <w:rPr>
          <w:sz w:val="22"/>
        </w:rPr>
      </w:pPr>
      <w:r>
        <w:rPr>
          <w:sz w:val="22"/>
        </w:rPr>
        <w:t xml:space="preserve">LUNGO TEVERE RIPA, 7 00153 </w:t>
      </w:r>
      <w:r>
        <w:rPr>
          <w:sz w:val="22"/>
        </w:rPr>
        <w:t xml:space="preserve">ROMA </w:t>
      </w:r>
      <w:r>
        <w:rPr>
          <w:sz w:val="22"/>
        </w:rPr>
        <w:t xml:space="preserve">(RM)-ITALIA</w:t>
      </w:r>
    </w:p>
    <w:p>
      <w:pPr>
        <w:spacing w:before="0" w:line="259" w:lineRule="auto"/>
        <w:ind w:start="1181" w:end="4335" w:firstLine="0"/>
        <w:jc w:val="both"/>
        <w:rPr>
          <w:sz w:val="22"/>
        </w:rPr>
      </w:pPr>
      <w:r>
        <w:rPr>
          <w:sz w:val="22"/>
        </w:rPr>
        <w:t xml:space="preserve">correo electrónico </w:t>
      </w:r>
      <w:r>
        <w:rPr>
          <w:sz w:val="22"/>
        </w:rPr>
        <w:t xml:space="preserve">registrado: </w:t>
      </w:r>
      <w:hyperlink r:id="rId19">
        <w:r>
          <w:rPr>
            <w:sz w:val="22"/>
          </w:rPr>
          <w:t xml:space="preserve">seggen@postacert.sanita.it</w:t>
        </w:r>
      </w:hyperlink>
      <w:r>
        <w:rPr>
          <w:sz w:val="22"/>
        </w:rPr>
        <w:t xml:space="preserve"> correo electrónico registrado: </w:t>
      </w:r>
      <w:hyperlink r:id="rId20">
        <w:r>
          <w:rPr>
            <w:sz w:val="22"/>
            <w:u w:val="single"/>
          </w:rPr>
          <w:t xml:space="preserve">dgprev@postacert.sanita.it</w:t>
        </w:r>
      </w:hyperlink>
      <w:r>
        <w:rPr>
          <w:sz w:val="22"/>
        </w:rPr>
        <w:t xml:space="preserve"> correo electrónico: </w:t>
      </w:r>
      <w:hyperlink r:id="rId21">
        <w:r>
          <w:rPr>
            <w:sz w:val="22"/>
            <w:u w:val="single"/>
          </w:rPr>
          <w:t xml:space="preserve">segreteria.ministro@sanita.it</w:t>
        </w:r>
      </w:hyperlink>
    </w:p>
    <w:p>
      <w:pPr>
        <w:spacing w:after="0" w:line="259" w:lineRule="auto"/>
        <w:jc w:val="both"/>
        <w:rPr>
          <w:sz w:val="22"/>
        </w:rPr>
        <w:sectPr>
          <w:pgSz w:w="11900" w:h="16850"/>
          <w:pgMar w:top="1340" w:right="1000" w:bottom="800" w:left="1020" w:header="0" w:footer="605"/>
        </w:sectPr>
      </w:pPr>
    </w:p>
    <w:p>
      <w:pPr>
        <w:pStyle w:val="ListParagraph"/>
        <w:numPr>
          <w:ilvl w:val="1"/>
          <w:numId w:val="3"/>
        </w:numPr>
        <w:tabs>
          <w:tab w:val="left" w:leader="none" w:pos="1181"/>
          <w:tab w:val="left" w:leader="none" w:pos="1182"/>
        </w:tabs>
        <w:spacing w:before="94" w:after="0" w:line="259" w:lineRule="auto"/>
        <w:ind w:start="1181" w:end="4055"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Secretario de </w:t>
      </w:r>
      <w:r>
        <w:rPr>
          <w:b/>
          <w:sz w:val="22"/>
        </w:rPr>
        <w:t xml:space="preserve">Estado </w:t>
      </w:r>
      <w:r>
        <w:rPr>
          <w:b/>
          <w:sz w:val="22"/>
        </w:rPr>
        <w:t xml:space="preserve">de </w:t>
      </w:r>
      <w:r>
        <w:rPr>
          <w:b/>
          <w:sz w:val="22"/>
        </w:rPr>
        <w:t xml:space="preserve">Sanidad Andrea Costa</w:t>
      </w:r>
    </w:p>
    <w:p>
      <w:pPr>
        <w:spacing w:before="1" w:line="256" w:lineRule="auto"/>
        <w:ind w:start="1181" w:end="3880" w:firstLine="0"/>
        <w:jc w:val="left"/>
        <w:rPr>
          <w:sz w:val="22"/>
        </w:rPr>
      </w:pPr>
      <w:r>
        <w:rPr>
          <w:sz w:val="22"/>
        </w:rPr>
        <w:t xml:space="preserve">correo electrónico </w:t>
      </w:r>
      <w:r>
        <w:rPr>
          <w:sz w:val="22"/>
        </w:rPr>
        <w:t xml:space="preserve">registrado</w:t>
      </w:r>
      <w:r>
        <w:rPr>
          <w:sz w:val="22"/>
        </w:rPr>
        <w:t xml:space="preserve">: </w:t>
      </w:r>
      <w:hyperlink r:id="rId19">
        <w:r>
          <w:rPr>
            <w:sz w:val="22"/>
          </w:rPr>
          <w:t xml:space="preserve">seggen@postacert.sanita.it</w:t>
        </w:r>
      </w:hyperlink>
      <w:r>
        <w:rPr>
          <w:sz w:val="22"/>
        </w:rPr>
        <w:t xml:space="preserve"> correo electrónico: segreteria.costa.sanita.it</w:t>
      </w:r>
    </w:p>
    <w:p>
      <w:pPr>
        <w:spacing w:before="4" w:line="240" w:lineRule="auto"/>
        <w:rPr>
          <w:sz w:val="25"/>
        </w:rPr>
      </w:pPr>
    </w:p>
    <w:p>
      <w:pPr>
        <w:pStyle w:val="ListParagraph"/>
        <w:numPr>
          <w:ilvl w:val="1"/>
          <w:numId w:val="3"/>
        </w:numPr>
        <w:tabs>
          <w:tab w:val="left" w:leader="none" w:pos="1181"/>
          <w:tab w:val="left" w:leader="none" w:pos="1182"/>
        </w:tabs>
        <w:spacing w:before="0" w:after="0" w:line="259" w:lineRule="auto"/>
        <w:ind w:start="1181" w:end="4055"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Secretario de </w:t>
      </w:r>
      <w:r>
        <w:rPr>
          <w:b/>
          <w:sz w:val="22"/>
        </w:rPr>
        <w:t xml:space="preserve">Estado </w:t>
      </w:r>
      <w:r>
        <w:rPr>
          <w:b/>
          <w:sz w:val="22"/>
        </w:rPr>
        <w:t xml:space="preserve">de </w:t>
      </w:r>
      <w:r>
        <w:rPr>
          <w:b/>
          <w:sz w:val="22"/>
        </w:rPr>
        <w:t xml:space="preserve">Sanidad Piepaolo Sileri</w:t>
      </w:r>
    </w:p>
    <w:p>
      <w:pPr>
        <w:spacing w:before="0" w:line="259" w:lineRule="auto"/>
        <w:ind w:start="1181" w:end="3880" w:firstLine="0"/>
        <w:jc w:val="left"/>
        <w:rPr>
          <w:sz w:val="22"/>
        </w:rPr>
      </w:pPr>
      <w:r>
        <w:rPr>
          <w:sz w:val="22"/>
        </w:rPr>
        <w:t xml:space="preserve">correo electrónico </w:t>
      </w:r>
      <w:r>
        <w:rPr>
          <w:sz w:val="22"/>
        </w:rPr>
        <w:t xml:space="preserve">registrado: </w:t>
      </w:r>
      <w:hyperlink r:id="rId19">
        <w:r>
          <w:rPr>
            <w:sz w:val="22"/>
          </w:rPr>
          <w:t xml:space="preserve">seggen@postacert.sanita.it</w:t>
        </w:r>
      </w:hyperlink>
      <w:r>
        <w:rPr>
          <w:sz w:val="22"/>
        </w:rPr>
        <w:t xml:space="preserve"> correo electrónico: </w:t>
      </w:r>
      <w:hyperlink r:id="rId22">
        <w:r>
          <w:rPr>
            <w:sz w:val="22"/>
          </w:rPr>
          <w:t xml:space="preserve">sileri.ufficio@sanita.it</w:t>
        </w:r>
      </w:hyperlink>
    </w:p>
    <w:p>
      <w:pPr>
        <w:spacing w:before="0" w:line="240" w:lineRule="auto"/>
        <w:rPr>
          <w:sz w:val="25"/>
        </w:rPr>
      </w:pPr>
    </w:p>
    <w:p>
      <w:pPr>
        <w:pStyle w:val="ListParagraph"/>
        <w:numPr>
          <w:ilvl w:val="1"/>
          <w:numId w:val="3"/>
        </w:numPr>
        <w:tabs>
          <w:tab w:val="left" w:leader="none" w:pos="1245"/>
          <w:tab w:val="left" w:leader="none" w:pos="1246"/>
        </w:tabs>
        <w:spacing w:before="0" w:after="0" w:line="259" w:lineRule="auto"/>
        <w:ind w:start="1246" w:end="2233"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Secretario </w:t>
      </w:r>
      <w:r>
        <w:rPr>
          <w:b/>
          <w:sz w:val="22"/>
        </w:rPr>
        <w:t xml:space="preserve">General </w:t>
      </w:r>
      <w:r>
        <w:rPr>
          <w:b/>
          <w:sz w:val="22"/>
        </w:rPr>
        <w:t xml:space="preserve">del </w:t>
      </w:r>
      <w:r>
        <w:rPr>
          <w:b/>
          <w:sz w:val="22"/>
        </w:rPr>
        <w:t xml:space="preserve">Ministerio </w:t>
      </w:r>
      <w:r>
        <w:rPr>
          <w:b/>
          <w:sz w:val="22"/>
        </w:rPr>
        <w:t xml:space="preserve">de </w:t>
      </w:r>
      <w:r>
        <w:rPr>
          <w:b/>
          <w:sz w:val="22"/>
        </w:rPr>
        <w:t xml:space="preserve">Sanidad Giovanni Leonardi</w:t>
      </w:r>
    </w:p>
    <w:p>
      <w:pPr>
        <w:spacing w:before="0" w:line="259" w:lineRule="auto"/>
        <w:ind w:start="1246" w:end="3880" w:firstLine="0"/>
        <w:jc w:val="left"/>
        <w:rPr>
          <w:sz w:val="22"/>
        </w:rPr>
      </w:pPr>
      <w:r>
        <w:rPr>
          <w:sz w:val="22"/>
        </w:rPr>
        <w:t xml:space="preserve">correo electrónico </w:t>
      </w:r>
      <w:r>
        <w:rPr>
          <w:sz w:val="22"/>
        </w:rPr>
        <w:t xml:space="preserve">registrado: </w:t>
      </w:r>
      <w:hyperlink r:id="rId19">
        <w:r>
          <w:rPr>
            <w:sz w:val="22"/>
          </w:rPr>
          <w:t xml:space="preserve">seggen@postacert.sanita.it</w:t>
        </w:r>
      </w:hyperlink>
      <w:r>
        <w:rPr>
          <w:sz w:val="22"/>
        </w:rPr>
        <w:t xml:space="preserve"> correo electrónico: </w:t>
      </w:r>
      <w:hyperlink r:id="rId23">
        <w:r>
          <w:rPr>
            <w:sz w:val="22"/>
          </w:rPr>
          <w:t xml:space="preserve">g.leonardi@sanita.it</w:t>
        </w:r>
      </w:hyperlink>
    </w:p>
    <w:p>
      <w:pPr>
        <w:spacing w:before="0" w:line="240" w:lineRule="auto"/>
        <w:rPr>
          <w:sz w:val="25"/>
        </w:rPr>
      </w:pPr>
    </w:p>
    <w:p>
      <w:pPr>
        <w:pStyle w:val="ListParagraph"/>
        <w:numPr>
          <w:ilvl w:val="1"/>
          <w:numId w:val="3"/>
        </w:numPr>
        <w:tabs>
          <w:tab w:val="left" w:leader="none" w:pos="1181"/>
          <w:tab w:val="left" w:leader="none" w:pos="1182"/>
        </w:tabs>
        <w:spacing w:before="0" w:after="0" w:line="240" w:lineRule="auto"/>
        <w:ind w:start="1181" w:end="0" w:hanging="361"/>
        <w:jc w:val="left"/>
        <w:rPr>
          <w:sz w:val="22"/>
        </w:rPr>
      </w:pPr>
      <w:r>
        <w:rPr>
          <w:sz w:val="22"/>
        </w:rPr>
        <w:t xml:space="preserve">en </w:t>
      </w:r>
      <w:r>
        <w:rPr>
          <w:sz w:val="22"/>
        </w:rPr>
        <w:t xml:space="preserve">la </w:t>
      </w:r>
      <w:r>
        <w:rPr>
          <w:spacing w:val="-2"/>
          <w:sz w:val="22"/>
        </w:rPr>
        <w:t xml:space="preserve">persona</w:t>
      </w:r>
    </w:p>
    <w:p>
      <w:pPr>
        <w:spacing w:before="21"/>
        <w:ind w:start="1181" w:end="0" w:firstLine="0"/>
        <w:jc w:val="left"/>
        <w:rPr>
          <w:b/>
          <w:sz w:val="22"/>
        </w:rPr>
      </w:pPr>
      <w:r>
        <w:rPr>
          <w:sz w:val="22"/>
        </w:rPr>
        <w:t xml:space="preserve">del </w:t>
      </w:r>
      <w:r>
        <w:rPr>
          <w:b/>
          <w:sz w:val="22"/>
        </w:rPr>
        <w:t xml:space="preserve">Presidente </w:t>
      </w:r>
      <w:r>
        <w:rPr>
          <w:b/>
          <w:sz w:val="22"/>
        </w:rPr>
        <w:t xml:space="preserve">del </w:t>
      </w:r>
      <w:r>
        <w:rPr>
          <w:b/>
          <w:sz w:val="22"/>
        </w:rPr>
        <w:t xml:space="preserve">Consejo </w:t>
      </w:r>
      <w:r>
        <w:rPr>
          <w:b/>
          <w:sz w:val="22"/>
        </w:rPr>
        <w:t xml:space="preserve">Superior de </w:t>
      </w:r>
      <w:r>
        <w:rPr>
          <w:b/>
          <w:sz w:val="22"/>
        </w:rPr>
        <w:t xml:space="preserve">Sanidad </w:t>
      </w:r>
      <w:r>
        <w:rPr>
          <w:b/>
          <w:sz w:val="22"/>
        </w:rPr>
        <w:t xml:space="preserve">del </w:t>
      </w:r>
      <w:r>
        <w:rPr>
          <w:b/>
          <w:sz w:val="22"/>
        </w:rPr>
        <w:t xml:space="preserve">Ministerio </w:t>
      </w:r>
      <w:r>
        <w:rPr>
          <w:b/>
          <w:sz w:val="22"/>
        </w:rPr>
        <w:t xml:space="preserve">de </w:t>
      </w:r>
      <w:r>
        <w:rPr>
          <w:b/>
          <w:spacing w:val="-2"/>
          <w:sz w:val="22"/>
        </w:rPr>
        <w:t xml:space="preserve">Sanidad</w:t>
      </w:r>
    </w:p>
    <w:p>
      <w:pPr>
        <w:spacing w:before="18"/>
        <w:ind w:start="1181" w:end="0" w:firstLine="0"/>
        <w:jc w:val="left"/>
        <w:rPr>
          <w:sz w:val="22"/>
        </w:rPr>
      </w:pPr>
      <w:r>
        <w:rPr>
          <w:sz w:val="22"/>
        </w:rPr>
        <w:t xml:space="preserve">Franco </w:t>
      </w:r>
      <w:r>
        <w:rPr>
          <w:spacing w:val="-2"/>
          <w:sz w:val="22"/>
        </w:rPr>
        <w:t xml:space="preserve">Locatelli</w:t>
      </w:r>
    </w:p>
    <w:p>
      <w:pPr>
        <w:spacing w:before="21" w:line="259" w:lineRule="auto"/>
        <w:ind w:start="1181" w:end="3880" w:firstLine="0"/>
        <w:jc w:val="left"/>
        <w:rPr>
          <w:sz w:val="22"/>
        </w:rPr>
      </w:pPr>
      <w:r>
        <w:rPr>
          <w:sz w:val="22"/>
        </w:rPr>
        <w:t xml:space="preserve">correo electrónico </w:t>
      </w:r>
      <w:r>
        <w:rPr>
          <w:sz w:val="22"/>
        </w:rPr>
        <w:t xml:space="preserve">registrado: </w:t>
      </w:r>
      <w:hyperlink r:id="rId24">
        <w:r>
          <w:rPr>
            <w:sz w:val="22"/>
          </w:rPr>
          <w:t xml:space="preserve">dgocts@postacert.sanita.it</w:t>
        </w:r>
      </w:hyperlink>
      <w:r>
        <w:rPr>
          <w:sz w:val="22"/>
        </w:rPr>
        <w:t xml:space="preserve"> correo electrónico: </w:t>
      </w:r>
      <w:hyperlink r:id="rId25">
        <w:r>
          <w:rPr>
            <w:sz w:val="22"/>
          </w:rPr>
          <w:t xml:space="preserve">franco.locatell@opbg.net</w:t>
        </w:r>
      </w:hyperlink>
    </w:p>
    <w:p>
      <w:pPr>
        <w:spacing w:before="10" w:line="240" w:lineRule="auto"/>
        <w:rPr>
          <w:sz w:val="24"/>
        </w:rPr>
      </w:pPr>
    </w:p>
    <w:p>
      <w:pPr>
        <w:pStyle w:val="ListParagraph"/>
        <w:numPr>
          <w:ilvl w:val="1"/>
          <w:numId w:val="3"/>
        </w:numPr>
        <w:tabs>
          <w:tab w:val="left" w:leader="none" w:pos="1181"/>
          <w:tab w:val="left" w:leader="none" w:pos="1182"/>
        </w:tabs>
        <w:spacing w:before="0" w:after="0" w:line="240" w:lineRule="auto"/>
        <w:ind w:start="1181" w:end="0" w:hanging="361"/>
        <w:jc w:val="left"/>
        <w:rPr>
          <w:b/>
          <w:sz w:val="22"/>
        </w:rPr>
      </w:pPr>
      <w:r>
        <w:rPr>
          <w:sz w:val="22"/>
        </w:rPr>
        <w:t xml:space="preserve">en </w:t>
      </w:r>
      <w:r>
        <w:rPr>
          <w:sz w:val="22"/>
        </w:rPr>
        <w:t xml:space="preserve">la </w:t>
      </w:r>
      <w:r>
        <w:rPr>
          <w:sz w:val="22"/>
        </w:rPr>
        <w:t xml:space="preserve">persona </w:t>
      </w:r>
      <w:r>
        <w:rPr>
          <w:b/>
          <w:sz w:val="22"/>
        </w:rPr>
        <w:t xml:space="preserve">del </w:t>
      </w:r>
      <w:r>
        <w:rPr>
          <w:b/>
          <w:sz w:val="22"/>
        </w:rPr>
        <w:t xml:space="preserve">Director </w:t>
      </w:r>
      <w:r>
        <w:rPr>
          <w:b/>
          <w:sz w:val="22"/>
        </w:rPr>
        <w:t xml:space="preserve">General </w:t>
      </w:r>
      <w:r>
        <w:rPr>
          <w:b/>
          <w:sz w:val="22"/>
        </w:rPr>
        <w:t xml:space="preserve">de </w:t>
      </w:r>
      <w:r>
        <w:rPr>
          <w:b/>
          <w:sz w:val="22"/>
        </w:rPr>
        <w:t xml:space="preserve">Prevención San</w:t>
      </w:r>
      <w:r>
        <w:rPr>
          <w:b/>
          <w:sz w:val="22"/>
        </w:rPr>
        <w:t xml:space="preserve">itaria </w:t>
      </w:r>
      <w:r>
        <w:rPr>
          <w:b/>
          <w:sz w:val="22"/>
        </w:rPr>
        <w:t xml:space="preserve">del </w:t>
      </w:r>
      <w:r>
        <w:rPr>
          <w:b/>
          <w:sz w:val="22"/>
        </w:rPr>
        <w:t xml:space="preserve">Ministerio </w:t>
      </w:r>
      <w:r>
        <w:rPr>
          <w:b/>
          <w:sz w:val="22"/>
        </w:rPr>
        <w:t xml:space="preserve">de </w:t>
      </w:r>
      <w:r>
        <w:rPr>
          <w:b/>
          <w:spacing w:val="-2"/>
          <w:sz w:val="22"/>
        </w:rPr>
        <w:t xml:space="preserve">Sanidad</w:t>
      </w:r>
    </w:p>
    <w:p>
      <w:pPr>
        <w:spacing w:before="21"/>
        <w:ind w:start="1181" w:end="0" w:firstLine="0"/>
        <w:jc w:val="left"/>
        <w:rPr>
          <w:sz w:val="22"/>
        </w:rPr>
      </w:pPr>
      <w:r>
        <w:rPr>
          <w:sz w:val="22"/>
        </w:rPr>
        <w:t xml:space="preserve">Giovanni </w:t>
      </w:r>
      <w:r>
        <w:rPr>
          <w:spacing w:val="-2"/>
          <w:sz w:val="22"/>
        </w:rPr>
        <w:t xml:space="preserve">Rezza</w:t>
      </w:r>
    </w:p>
    <w:p>
      <w:pPr>
        <w:spacing w:before="20" w:line="259" w:lineRule="auto"/>
        <w:ind w:start="1181" w:end="3880" w:firstLine="0"/>
        <w:jc w:val="left"/>
        <w:rPr>
          <w:sz w:val="22"/>
        </w:rPr>
      </w:pPr>
      <w:r>
        <w:rPr>
          <w:sz w:val="22"/>
        </w:rPr>
        <w:t xml:space="preserve">correo electrónico </w:t>
      </w:r>
      <w:r>
        <w:rPr>
          <w:sz w:val="22"/>
        </w:rPr>
        <w:t xml:space="preserve">registrado: </w:t>
      </w:r>
      <w:hyperlink r:id="rId20">
        <w:r>
          <w:rPr>
            <w:sz w:val="22"/>
          </w:rPr>
          <w:t xml:space="preserve">dgprev@postacert.sanita.it</w:t>
        </w:r>
      </w:hyperlink>
      <w:r>
        <w:rPr>
          <w:sz w:val="22"/>
        </w:rPr>
        <w:t xml:space="preserve"> correo electrónico: </w:t>
      </w:r>
      <w:hyperlink r:id="rId26">
        <w:r>
          <w:rPr>
            <w:sz w:val="22"/>
          </w:rPr>
          <w:t xml:space="preserve">segr.dgprev@sanita.it</w:t>
        </w:r>
      </w:hyperlink>
    </w:p>
    <w:p>
      <w:pPr>
        <w:spacing w:before="0" w:line="240" w:lineRule="auto"/>
        <w:rPr>
          <w:sz w:val="24"/>
        </w:rPr>
      </w:pPr>
    </w:p>
    <w:p>
      <w:pPr>
        <w:spacing w:before="6" w:line="240" w:lineRule="auto"/>
        <w:rPr>
          <w:sz w:val="23"/>
        </w:rPr>
      </w:pPr>
    </w:p>
    <w:p>
      <w:pPr>
        <w:spacing w:before="0"/>
        <w:ind w:start="540" w:end="0" w:firstLine="0"/>
        <w:jc w:val="left"/>
        <w:rPr>
          <w:sz w:val="22"/>
        </w:rPr>
      </w:pPr>
      <w:r>
        <w:rPr>
          <w:sz w:val="22"/>
        </w:rPr>
        <w:t xml:space="preserve">A </w:t>
      </w:r>
      <w:r>
        <w:rPr>
          <w:spacing w:val="-5"/>
          <w:sz w:val="22"/>
        </w:rPr>
        <w:t xml:space="preserve">la</w:t>
      </w:r>
    </w:p>
    <w:p>
      <w:pPr>
        <w:spacing w:before="20"/>
        <w:ind w:start="540" w:end="0" w:firstLine="0"/>
        <w:jc w:val="left"/>
        <w:rPr>
          <w:b/>
          <w:sz w:val="22"/>
        </w:rPr>
      </w:pPr>
      <w:r>
        <w:rPr>
          <w:b/>
          <w:sz w:val="22"/>
        </w:rPr>
        <w:t xml:space="preserve">Istituto </w:t>
      </w:r>
      <w:r>
        <w:rPr>
          <w:b/>
          <w:sz w:val="22"/>
        </w:rPr>
        <w:t xml:space="preserve">Superiore </w:t>
      </w:r>
      <w:r>
        <w:rPr>
          <w:b/>
          <w:sz w:val="22"/>
        </w:rPr>
        <w:t xml:space="preserve">della </w:t>
      </w:r>
      <w:r>
        <w:rPr>
          <w:b/>
          <w:sz w:val="22"/>
        </w:rPr>
        <w:t xml:space="preserve">Sanità </w:t>
      </w:r>
      <w:r>
        <w:rPr>
          <w:b/>
          <w:spacing w:val="-4"/>
          <w:sz w:val="22"/>
        </w:rPr>
        <w:t xml:space="preserve">(ISS)</w:t>
      </w:r>
    </w:p>
    <w:p>
      <w:pPr>
        <w:spacing w:before="21" w:line="256" w:lineRule="auto"/>
        <w:ind w:start="540" w:end="6900" w:firstLine="0"/>
        <w:jc w:val="left"/>
        <w:rPr>
          <w:sz w:val="22"/>
        </w:rPr>
      </w:pPr>
      <w:r>
        <w:rPr>
          <w:sz w:val="22"/>
        </w:rPr>
        <w:t xml:space="preserve">Viale </w:t>
      </w:r>
      <w:r>
        <w:rPr>
          <w:sz w:val="22"/>
        </w:rPr>
        <w:t xml:space="preserve">Regina </w:t>
      </w:r>
      <w:r>
        <w:rPr>
          <w:sz w:val="22"/>
        </w:rPr>
        <w:t xml:space="preserve">Elena, </w:t>
      </w:r>
      <w:r>
        <w:rPr>
          <w:sz w:val="22"/>
        </w:rPr>
        <w:t xml:space="preserve">299 00161 ROMA (RM)</w:t>
      </w:r>
    </w:p>
    <w:p>
      <w:pPr>
        <w:spacing w:before="3" w:line="259" w:lineRule="auto"/>
        <w:ind w:start="540" w:end="4773" w:firstLine="0"/>
        <w:jc w:val="left"/>
        <w:rPr>
          <w:sz w:val="22"/>
        </w:rPr>
      </w:pPr>
      <w:r>
        <w:rPr>
          <w:sz w:val="22"/>
        </w:rPr>
        <w:t xml:space="preserve">correo electrónico </w:t>
      </w:r>
      <w:r>
        <w:rPr>
          <w:sz w:val="22"/>
        </w:rPr>
        <w:t xml:space="preserve">registrado: </w:t>
      </w:r>
      <w:hyperlink r:id="rId27">
        <w:r>
          <w:rPr>
            <w:sz w:val="22"/>
            <w:u w:val="single"/>
          </w:rPr>
          <w:t xml:space="preserve">protocollo.centrale@pec.iss.it</w:t>
        </w:r>
      </w:hyperlink>
      <w:r>
        <w:rPr>
          <w:sz w:val="22"/>
        </w:rPr>
        <w:t xml:space="preserve"> correo electrónico: </w:t>
      </w:r>
      <w:hyperlink r:id="rId28">
        <w:r>
          <w:rPr>
            <w:sz w:val="22"/>
          </w:rPr>
          <w:t xml:space="preserve">web@iss.it</w:t>
        </w:r>
      </w:hyperlink>
    </w:p>
    <w:p>
      <w:pPr>
        <w:spacing w:before="11" w:line="240" w:lineRule="auto"/>
        <w:rPr>
          <w:sz w:val="24"/>
        </w:rPr>
      </w:pPr>
    </w:p>
    <w:p>
      <w:pPr>
        <w:pStyle w:val="ListParagraph"/>
        <w:numPr>
          <w:ilvl w:val="1"/>
          <w:numId w:val="3"/>
        </w:numPr>
        <w:tabs>
          <w:tab w:val="left" w:leader="none" w:pos="1181"/>
          <w:tab w:val="left" w:leader="none" w:pos="1182"/>
        </w:tabs>
        <w:spacing w:before="0" w:after="0" w:line="259" w:lineRule="auto"/>
        <w:ind w:start="1181" w:end="5746"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Presidente Silvio Brusaferro</w:t>
      </w:r>
    </w:p>
    <w:p>
      <w:pPr>
        <w:spacing w:before="1" w:line="259" w:lineRule="auto"/>
        <w:ind w:start="1181" w:end="3880" w:firstLine="0"/>
        <w:jc w:val="left"/>
        <w:rPr>
          <w:sz w:val="22"/>
        </w:rPr>
      </w:pPr>
      <w:r>
        <w:rPr>
          <w:sz w:val="22"/>
        </w:rPr>
        <w:t xml:space="preserve">correo electrónico </w:t>
      </w:r>
      <w:r>
        <w:rPr>
          <w:sz w:val="22"/>
        </w:rPr>
        <w:t xml:space="preserve">registrado: </w:t>
      </w:r>
      <w:hyperlink r:id="rId27">
        <w:r>
          <w:rPr>
            <w:sz w:val="22"/>
            <w:u w:val="single"/>
          </w:rPr>
          <w:t xml:space="preserve">protocollo.centrale@pec.iss.it</w:t>
        </w:r>
      </w:hyperlink>
      <w:r>
        <w:rPr>
          <w:sz w:val="22"/>
        </w:rPr>
        <w:t xml:space="preserve"> correo electrónico: </w:t>
      </w:r>
      <w:hyperlink r:id="rId29">
        <w:r>
          <w:rPr>
            <w:sz w:val="22"/>
            <w:u w:val="single"/>
          </w:rPr>
          <w:t xml:space="preserve">presidenza@iss.it</w:t>
        </w:r>
      </w:hyperlink>
    </w:p>
    <w:p>
      <w:pPr>
        <w:spacing w:before="0"/>
        <w:ind w:start="1181" w:end="0" w:firstLine="0"/>
        <w:jc w:val="left"/>
        <w:rPr>
          <w:sz w:val="22"/>
        </w:rPr>
      </w:pPr>
      <w:r>
        <w:rPr>
          <w:sz w:val="22"/>
        </w:rPr>
        <w:t xml:space="preserve">correo electrónico: </w:t>
      </w:r>
      <w:r>
        <w:rPr>
          <w:spacing w:val="-2"/>
          <w:sz w:val="22"/>
        </w:rPr>
        <w:t xml:space="preserve">silvio.brusaferro@iss</w:t>
      </w:r>
    </w:p>
    <w:p>
      <w:pPr>
        <w:spacing w:before="0" w:line="240" w:lineRule="auto"/>
        <w:rPr>
          <w:sz w:val="24"/>
        </w:rPr>
      </w:pPr>
    </w:p>
    <w:p>
      <w:pPr>
        <w:spacing w:before="3" w:line="240" w:lineRule="auto"/>
        <w:rPr>
          <w:sz w:val="25"/>
        </w:rPr>
      </w:pPr>
    </w:p>
    <w:p>
      <w:pPr>
        <w:spacing w:before="0"/>
        <w:ind w:start="540" w:end="0" w:firstLine="0"/>
        <w:jc w:val="left"/>
        <w:rPr>
          <w:sz w:val="22"/>
        </w:rPr>
      </w:pPr>
      <w:r>
        <w:rPr>
          <w:sz w:val="22"/>
        </w:rPr>
        <w:t xml:space="preserve">A </w:t>
      </w:r>
      <w:r>
        <w:rPr>
          <w:spacing w:val="-5"/>
          <w:sz w:val="22"/>
        </w:rPr>
        <w:t xml:space="preserve">la</w:t>
      </w:r>
    </w:p>
    <w:p>
      <w:pPr>
        <w:spacing w:before="21"/>
        <w:ind w:start="540" w:end="0" w:firstLine="0"/>
        <w:jc w:val="left"/>
        <w:rPr>
          <w:b/>
          <w:sz w:val="22"/>
        </w:rPr>
      </w:pPr>
      <w:r>
        <w:rPr>
          <w:b/>
          <w:sz w:val="22"/>
        </w:rPr>
        <w:t xml:space="preserve">AIFA </w:t>
      </w:r>
      <w:r>
        <w:rPr>
          <w:b/>
          <w:sz w:val="22"/>
        </w:rPr>
        <w:t xml:space="preserve">- </w:t>
      </w:r>
      <w:r>
        <w:rPr>
          <w:b/>
          <w:sz w:val="22"/>
        </w:rPr>
        <w:t xml:space="preserve">Agenzia </w:t>
      </w:r>
      <w:r>
        <w:rPr>
          <w:b/>
          <w:sz w:val="22"/>
        </w:rPr>
        <w:t xml:space="preserve">Italiana </w:t>
      </w:r>
      <w:r>
        <w:rPr>
          <w:b/>
          <w:sz w:val="22"/>
        </w:rPr>
        <w:t xml:space="preserve">del </w:t>
      </w:r>
      <w:r>
        <w:rPr>
          <w:b/>
          <w:spacing w:val="-2"/>
          <w:sz w:val="22"/>
        </w:rPr>
        <w:t xml:space="preserve">Farmaco</w:t>
      </w:r>
    </w:p>
    <w:p>
      <w:pPr>
        <w:spacing w:before="18" w:line="259" w:lineRule="auto"/>
        <w:ind w:start="540" w:end="6900" w:firstLine="0"/>
        <w:jc w:val="left"/>
        <w:rPr>
          <w:sz w:val="22"/>
        </w:rPr>
      </w:pPr>
      <w:r>
        <w:rPr>
          <w:sz w:val="22"/>
        </w:rPr>
        <w:t xml:space="preserve">Via </w:t>
      </w:r>
      <w:r>
        <w:rPr>
          <w:sz w:val="22"/>
        </w:rPr>
        <w:t xml:space="preserve">dei </w:t>
      </w:r>
      <w:r>
        <w:rPr>
          <w:sz w:val="22"/>
        </w:rPr>
        <w:t xml:space="preserve">Maroniti, </w:t>
      </w:r>
      <w:r>
        <w:rPr>
          <w:sz w:val="22"/>
        </w:rPr>
        <w:t xml:space="preserve">40 00187 </w:t>
      </w:r>
      <w:r>
        <w:rPr>
          <w:sz w:val="22"/>
        </w:rPr>
        <w:t xml:space="preserve">ROMA </w:t>
      </w:r>
      <w:r>
        <w:rPr>
          <w:spacing w:val="-4"/>
          <w:sz w:val="22"/>
        </w:rPr>
        <w:t xml:space="preserve">(RM)</w:t>
      </w:r>
    </w:p>
    <w:p>
      <w:pPr>
        <w:pStyle w:val="ListParagraph"/>
        <w:numPr>
          <w:ilvl w:val="0"/>
          <w:numId w:val="4"/>
        </w:numPr>
        <w:tabs>
          <w:tab w:val="left" w:leader="none" w:pos="1181"/>
          <w:tab w:val="left" w:leader="none" w:pos="1182"/>
        </w:tabs>
        <w:spacing w:before="44" w:after="0" w:line="247" w:lineRule="auto"/>
        <w:ind w:start="1181" w:end="5024"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Director </w:t>
      </w:r>
      <w:r>
        <w:rPr>
          <w:b/>
          <w:sz w:val="22"/>
        </w:rPr>
        <w:t xml:space="preserve">General Nicola Magrini</w:t>
      </w:r>
    </w:p>
    <w:p>
      <w:pPr>
        <w:spacing w:before="12" w:line="256" w:lineRule="auto"/>
        <w:ind w:start="1181" w:end="3084" w:firstLine="0"/>
        <w:jc w:val="left"/>
        <w:rPr>
          <w:sz w:val="22"/>
        </w:rPr>
      </w:pPr>
      <w:r>
        <w:rPr>
          <w:sz w:val="22"/>
        </w:rPr>
        <w:t xml:space="preserve">correo electrónico </w:t>
      </w:r>
      <w:r>
        <w:rPr>
          <w:sz w:val="22"/>
        </w:rPr>
        <w:t xml:space="preserve">registrado: </w:t>
      </w:r>
      <w:hyperlink r:id="rId30">
        <w:r>
          <w:rPr>
            <w:sz w:val="22"/>
          </w:rPr>
          <w:t xml:space="preserve">direzione.generale@pec.aifa.gov.it</w:t>
        </w:r>
      </w:hyperlink>
      <w:r>
        <w:rPr>
          <w:sz w:val="22"/>
        </w:rPr>
        <w:t xml:space="preserve"> correo electrónico: </w:t>
      </w:r>
      <w:hyperlink r:id="rId31">
        <w:r>
          <w:rPr>
            <w:sz w:val="22"/>
          </w:rPr>
          <w:t xml:space="preserve">n.magrini@aifa.gov.it</w:t>
        </w:r>
      </w:hyperlink>
    </w:p>
    <w:p>
      <w:pPr>
        <w:spacing w:after="0" w:line="256" w:lineRule="auto"/>
        <w:jc w:val="left"/>
        <w:rPr>
          <w:sz w:val="22"/>
        </w:rPr>
        <w:sectPr>
          <w:pgSz w:w="11900" w:h="16850"/>
          <w:pgMar w:top="1340" w:right="1000" w:bottom="800" w:left="1020" w:header="0" w:footer="605"/>
        </w:sectPr>
      </w:pPr>
    </w:p>
    <w:p>
      <w:pPr>
        <w:pStyle w:val="ListParagraph"/>
        <w:numPr>
          <w:ilvl w:val="0"/>
          <w:numId w:val="4"/>
        </w:numPr>
        <w:tabs>
          <w:tab w:val="left" w:leader="none" w:pos="1181"/>
          <w:tab w:val="left" w:leader="none" w:pos="1182"/>
        </w:tabs>
        <w:spacing w:before="83" w:after="0" w:line="247" w:lineRule="auto"/>
        <w:ind w:start="1181" w:end="3079" w:hanging="360"/>
        <w:jc w:val="left"/>
        <w:rPr>
          <w:b/>
          <w:sz w:val="22"/>
        </w:rPr>
      </w:pPr>
      <w:r>
        <w:rPr>
          <w:sz w:val="22"/>
        </w:rPr>
        <w:t xml:space="preserve">en </w:t>
      </w:r>
      <w:r>
        <w:rPr>
          <w:sz w:val="22"/>
        </w:rPr>
        <w:t xml:space="preserve">la </w:t>
      </w:r>
      <w:r>
        <w:rPr>
          <w:sz w:val="22"/>
        </w:rPr>
        <w:t xml:space="preserve">persona </w:t>
      </w:r>
      <w:r>
        <w:rPr>
          <w:sz w:val="22"/>
        </w:rPr>
        <w:t xml:space="preserve">del </w:t>
      </w:r>
      <w:r>
        <w:rPr>
          <w:b/>
          <w:sz w:val="22"/>
        </w:rPr>
        <w:t xml:space="preserve">Presidente </w:t>
      </w:r>
      <w:r>
        <w:rPr>
          <w:b/>
          <w:sz w:val="22"/>
        </w:rPr>
        <w:t xml:space="preserve">del </w:t>
      </w:r>
      <w:r>
        <w:rPr>
          <w:b/>
          <w:sz w:val="22"/>
        </w:rPr>
        <w:t xml:space="preserve">Consejo de Administración </w:t>
      </w:r>
      <w:r>
        <w:rPr>
          <w:b/>
          <w:sz w:val="22"/>
        </w:rPr>
        <w:t xml:space="preserve">Giorgio Palù</w:t>
      </w:r>
    </w:p>
    <w:p>
      <w:pPr>
        <w:spacing w:before="12" w:line="259" w:lineRule="auto"/>
        <w:ind w:start="1181" w:end="3880" w:firstLine="0"/>
        <w:jc w:val="left"/>
        <w:rPr>
          <w:sz w:val="22"/>
        </w:rPr>
      </w:pPr>
      <w:r>
        <w:rPr>
          <w:sz w:val="22"/>
        </w:rPr>
        <w:t xml:space="preserve">correo electrónico </w:t>
      </w:r>
      <w:r>
        <w:rPr>
          <w:sz w:val="22"/>
        </w:rPr>
        <w:t xml:space="preserve">registrado: </w:t>
      </w:r>
      <w:hyperlink r:id="rId32">
        <w:r>
          <w:rPr>
            <w:sz w:val="22"/>
          </w:rPr>
          <w:t xml:space="preserve">presidenza@pec.aifa.gov.it</w:t>
        </w:r>
      </w:hyperlink>
      <w:r>
        <w:rPr>
          <w:sz w:val="22"/>
        </w:rPr>
        <w:t xml:space="preserve"> correo electrónico: </w:t>
      </w:r>
      <w:hyperlink r:id="rId33">
        <w:r>
          <w:rPr>
            <w:sz w:val="22"/>
          </w:rPr>
          <w:t xml:space="preserve">presidenza@aifa.gov.it</w:t>
        </w:r>
      </w:hyperlink>
    </w:p>
    <w:p>
      <w:pPr>
        <w:spacing w:before="0" w:line="240" w:lineRule="auto"/>
        <w:rPr>
          <w:sz w:val="24"/>
        </w:rPr>
      </w:pPr>
    </w:p>
    <w:p>
      <w:pPr>
        <w:spacing w:before="0" w:line="240" w:lineRule="auto"/>
        <w:rPr>
          <w:sz w:val="24"/>
        </w:rPr>
      </w:pPr>
    </w:p>
    <w:p>
      <w:pPr>
        <w:spacing w:before="177"/>
        <w:ind w:start="3157" w:end="3173" w:firstLine="0"/>
        <w:jc w:val="center"/>
        <w:rPr>
          <w:b/>
          <w:sz w:val="24"/>
        </w:rPr>
      </w:pPr>
      <w:r>
        <w:rPr>
          <w:b/>
          <w:sz w:val="24"/>
          <w:u w:val="thick"/>
        </w:rPr>
        <w:t xml:space="preserve">OSTENSIÓN </w:t>
      </w:r>
      <w:r>
        <w:rPr>
          <w:b/>
          <w:sz w:val="24"/>
          <w:u w:val="thick"/>
        </w:rPr>
        <w:t xml:space="preserve">URGENTE </w:t>
      </w:r>
      <w:r>
        <w:rPr>
          <w:b/>
          <w:sz w:val="24"/>
          <w:u w:val="thick"/>
        </w:rPr>
        <w:t xml:space="preserve">/ </w:t>
      </w:r>
      <w:r>
        <w:rPr>
          <w:b/>
          <w:spacing w:val="-2"/>
          <w:sz w:val="24"/>
          <w:u w:val="thick"/>
        </w:rPr>
        <w:t xml:space="preserve">F.O.I.A.</w:t>
      </w:r>
    </w:p>
    <w:p>
      <w:pPr>
        <w:spacing w:before="21" w:line="259" w:lineRule="auto"/>
        <w:ind w:start="158" w:end="178" w:hanging="1"/>
        <w:jc w:val="center"/>
        <w:rPr>
          <w:b/>
          <w:sz w:val="24"/>
        </w:rPr>
      </w:pPr>
      <w:r>
        <w:rPr>
          <w:b/>
          <w:sz w:val="24"/>
          <w:u w:val="thick"/>
        </w:rPr>
        <w:t xml:space="preserve">de acuerdo con el artículo 15 del TFUE, los artículos 41 y 42 de la Carta de Derechos Fundamentales de la UE, </w:t>
      </w:r>
      <w:r>
        <w:rPr>
          <w:b/>
          <w:sz w:val="24"/>
          <w:u w:val="thick"/>
        </w:rPr>
        <w:t xml:space="preserve">el artículo </w:t>
      </w:r>
      <w:r>
        <w:rPr>
          <w:b/>
          <w:sz w:val="24"/>
          <w:u w:val="thick"/>
        </w:rPr>
        <w:t xml:space="preserve">22 </w:t>
      </w:r>
      <w:r>
        <w:rPr>
          <w:b/>
          <w:sz w:val="24"/>
          <w:u w:val="thick"/>
        </w:rPr>
        <w:t xml:space="preserve">y la </w:t>
      </w:r>
      <w:r>
        <w:rPr>
          <w:b/>
          <w:sz w:val="24"/>
          <w:u w:val="thick"/>
        </w:rPr>
        <w:t xml:space="preserve">posterior </w:t>
      </w:r>
      <w:r>
        <w:rPr>
          <w:b/>
          <w:sz w:val="24"/>
          <w:u w:val="thick"/>
        </w:rPr>
        <w:t xml:space="preserve">Ley </w:t>
      </w:r>
      <w:r>
        <w:rPr>
          <w:b/>
          <w:sz w:val="24"/>
          <w:u w:val="thick"/>
        </w:rPr>
        <w:t xml:space="preserve">241/1990 </w:t>
      </w:r>
      <w:r>
        <w:rPr>
          <w:b/>
          <w:sz w:val="24"/>
          <w:u w:val="thick"/>
        </w:rPr>
        <w:t xml:space="preserve">y </w:t>
      </w:r>
      <w:r>
        <w:rPr>
          <w:b/>
          <w:sz w:val="24"/>
          <w:u w:val="thick"/>
        </w:rPr>
        <w:t xml:space="preserve">el Decreto </w:t>
      </w:r>
      <w:r>
        <w:rPr>
          <w:b/>
          <w:sz w:val="24"/>
          <w:u w:val="thick"/>
        </w:rPr>
        <w:t xml:space="preserve">Legislativo </w:t>
      </w:r>
      <w:r>
        <w:rPr>
          <w:b/>
          <w:sz w:val="24"/>
          <w:u w:val="thick"/>
        </w:rPr>
        <w:t xml:space="preserve">(D.Lgs.) </w:t>
      </w:r>
      <w:r>
        <w:rPr>
          <w:b/>
          <w:sz w:val="24"/>
          <w:u w:val="thick"/>
        </w:rPr>
        <w:t xml:space="preserve">nº. </w:t>
      </w:r>
      <w:r>
        <w:rPr>
          <w:b/>
          <w:sz w:val="24"/>
          <w:u w:val="thick"/>
        </w:rPr>
        <w:t xml:space="preserve">33/2013</w:t>
      </w:r>
    </w:p>
    <w:p>
      <w:pPr>
        <w:spacing w:before="0" w:line="240" w:lineRule="auto"/>
        <w:rPr>
          <w:b/>
          <w:sz w:val="20"/>
        </w:rPr>
      </w:pPr>
    </w:p>
    <w:p>
      <w:pPr>
        <w:spacing w:before="228" w:line="259" w:lineRule="auto"/>
        <w:ind w:start="112" w:end="125" w:firstLine="0"/>
        <w:jc w:val="both"/>
        <w:rPr>
          <w:sz w:val="24"/>
        </w:rPr>
      </w:pPr>
      <w:r>
        <w:rPr>
          <w:sz w:val="24"/>
        </w:rPr>
        <w:t xml:space="preserve">En mi calidad de miembro de la Junta Directiva de Children's Health Defense Europe, con sede en Bélgica, 1348 Louvain-la Neuve 55/307 Grand Rue, y con el respectivo poder conferido por la Junta Directiva (véase el anexo 1), así como en mi calidad de abogado italiano/europeo admitido también en los Tribunales Supremos y con sede en I-39100 Bolzano viale Stazione 7 (véase el anexo 2), que defiende a personal sanitario italiano contra la imposición de tratamientos con las llamadas "</w:t>
      </w:r>
      <w:r>
        <w:rPr>
          <w:sz w:val="24"/>
        </w:rPr>
        <w:t xml:space="preserve">vacunas" Covid-19 </w:t>
      </w:r>
      <w:r>
        <w:rPr>
          <w:sz w:val="24"/>
        </w:rPr>
        <w:t xml:space="preserve">(por </w:t>
      </w:r>
      <w:r>
        <w:rPr>
          <w:sz w:val="24"/>
        </w:rPr>
        <w:t xml:space="preserve">ejemplo, </w:t>
      </w:r>
      <w:r>
        <w:rPr>
          <w:sz w:val="24"/>
        </w:rPr>
        <w:t xml:space="preserve">ante el Tribunal Administrativo (TAR) Lazio-Roma en el procedimiento </w:t>
      </w:r>
      <w:r>
        <w:rPr>
          <w:sz w:val="24"/>
        </w:rPr>
        <w:t xml:space="preserve">judicial</w:t>
      </w:r>
      <w:r>
        <w:rPr>
          <w:sz w:val="24"/>
        </w:rPr>
        <w:t xml:space="preserve"> pendiente con número de </w:t>
      </w:r>
      <w:r>
        <w:rPr>
          <w:sz w:val="24"/>
        </w:rPr>
        <w:t xml:space="preserve">registro </w:t>
      </w:r>
      <w:r>
        <w:rPr>
          <w:sz w:val="24"/>
        </w:rPr>
        <w:t xml:space="preserve">5114/2022) </w:t>
      </w:r>
      <w:r>
        <w:rPr>
          <w:sz w:val="24"/>
        </w:rPr>
        <w:t xml:space="preserve">y a </w:t>
      </w:r>
      <w:r>
        <w:rPr>
          <w:sz w:val="24"/>
        </w:rPr>
        <w:t xml:space="preserve">padres </w:t>
      </w:r>
      <w:r>
        <w:rPr>
          <w:sz w:val="24"/>
        </w:rPr>
        <w:t xml:space="preserve">contra </w:t>
      </w:r>
      <w:r>
        <w:rPr>
          <w:sz w:val="24"/>
        </w:rPr>
        <w:t xml:space="preserve">el </w:t>
      </w:r>
      <w:r>
        <w:rPr>
          <w:sz w:val="24"/>
        </w:rPr>
        <w:t xml:space="preserve">tratamiento </w:t>
      </w:r>
      <w:r>
        <w:rPr>
          <w:sz w:val="24"/>
        </w:rPr>
        <w:t xml:space="preserve">(solicitado </w:t>
      </w:r>
      <w:r>
        <w:rPr>
          <w:sz w:val="24"/>
        </w:rPr>
        <w:t xml:space="preserve">por </w:t>
      </w:r>
      <w:r>
        <w:rPr>
          <w:sz w:val="24"/>
        </w:rPr>
        <w:t xml:space="preserve">el </w:t>
      </w:r>
      <w:r>
        <w:rPr>
          <w:sz w:val="24"/>
        </w:rPr>
        <w:t xml:space="preserve">otro padre) de menores con las llamadas "vacunas" Covid-19 (por ejemplo, ante el Tribunal de Apelación </w:t>
      </w:r>
      <w:r>
        <w:rPr>
          <w:sz w:val="24"/>
        </w:rPr>
        <w:t xml:space="preserve">de </w:t>
      </w:r>
      <w:r>
        <w:rPr>
          <w:sz w:val="24"/>
        </w:rPr>
        <w:t xml:space="preserve">Bolzano </w:t>
      </w:r>
      <w:r>
        <w:rPr>
          <w:sz w:val="24"/>
        </w:rPr>
        <w:t xml:space="preserve">en </w:t>
      </w:r>
      <w:r>
        <w:rPr>
          <w:sz w:val="24"/>
        </w:rPr>
        <w:t xml:space="preserve">el </w:t>
      </w:r>
      <w:r>
        <w:rPr>
          <w:sz w:val="24"/>
        </w:rPr>
        <w:t xml:space="preserve">procedimiento judicial </w:t>
      </w:r>
      <w:r>
        <w:rPr>
          <w:sz w:val="24"/>
        </w:rPr>
        <w:t xml:space="preserve">con </w:t>
      </w:r>
      <w:r>
        <w:rPr>
          <w:sz w:val="24"/>
        </w:rPr>
        <w:t xml:space="preserve">número de </w:t>
      </w:r>
      <w:r>
        <w:rPr>
          <w:sz w:val="24"/>
        </w:rPr>
        <w:t xml:space="preserve">registro </w:t>
      </w:r>
      <w:r>
        <w:rPr>
          <w:sz w:val="24"/>
        </w:rPr>
        <w:t xml:space="preserve">R.G. </w:t>
      </w:r>
      <w:r>
        <w:rPr>
          <w:sz w:val="24"/>
        </w:rPr>
        <w:t xml:space="preserve">15/2022) </w:t>
      </w:r>
      <w:r>
        <w:rPr>
          <w:sz w:val="24"/>
        </w:rPr>
        <w:t xml:space="preserve">y </w:t>
      </w:r>
      <w:r>
        <w:rPr>
          <w:sz w:val="24"/>
        </w:rPr>
        <w:t xml:space="preserve">que </w:t>
      </w:r>
      <w:r>
        <w:rPr>
          <w:sz w:val="24"/>
        </w:rPr>
        <w:t xml:space="preserve">ha jurado </w:t>
      </w:r>
      <w:r>
        <w:rPr>
          <w:sz w:val="24"/>
        </w:rPr>
        <w:t xml:space="preserve">el </w:t>
      </w:r>
      <w:r>
        <w:rPr>
          <w:sz w:val="24"/>
        </w:rPr>
        <w:t xml:space="preserve">respeto </w:t>
      </w:r>
      <w:r>
        <w:rPr>
          <w:sz w:val="24"/>
        </w:rPr>
        <w:t xml:space="preserve">y la </w:t>
      </w:r>
      <w:r>
        <w:rPr>
          <w:sz w:val="24"/>
        </w:rPr>
        <w:t xml:space="preserve">protección </w:t>
      </w:r>
      <w:r>
        <w:rPr>
          <w:sz w:val="24"/>
        </w:rPr>
        <w:t xml:space="preserve">de </w:t>
      </w:r>
      <w:r>
        <w:rPr>
          <w:sz w:val="24"/>
        </w:rPr>
        <w:t xml:space="preserve">la </w:t>
      </w:r>
      <w:r>
        <w:rPr>
          <w:sz w:val="24"/>
        </w:rPr>
        <w:t xml:space="preserve">Constitución </w:t>
      </w:r>
      <w:r>
        <w:rPr>
          <w:sz w:val="24"/>
        </w:rPr>
        <w:t xml:space="preserve">de </w:t>
      </w:r>
      <w:r>
        <w:rPr>
          <w:sz w:val="24"/>
        </w:rPr>
        <w:t xml:space="preserve">la </w:t>
      </w:r>
      <w:r>
        <w:rPr>
          <w:sz w:val="24"/>
        </w:rPr>
        <w:t xml:space="preserve">República Italiana (y, por lo tanto, de la Carta de Derechos y Libertades Fundamentales de la UE, así como del Convenio Europeo de Derechos Humanos y de toda ley supranacional garante de los Derechos Humanos), y finalmente en mi calidad de ciudadana italiana de más de 50 años y madre nacida el </w:t>
      </w:r>
      <w:r>
        <w:rPr>
          <w:position w:val="8"/>
          <w:sz w:val="16"/>
        </w:rPr>
        <w:t xml:space="preserve">10 de </w:t>
      </w:r>
      <w:r>
        <w:rPr>
          <w:sz w:val="24"/>
        </w:rPr>
        <w:t xml:space="preserve">septiembre de 1966 (HLZRNT66P50A952M </w:t>
      </w:r>
      <w:r>
        <w:rPr>
          <w:sz w:val="24"/>
        </w:rPr>
        <w:t xml:space="preserve">- </w:t>
      </w:r>
      <w:r>
        <w:rPr>
          <w:sz w:val="24"/>
        </w:rPr>
        <w:t xml:space="preserve">véase </w:t>
      </w:r>
      <w:r>
        <w:rPr>
          <w:sz w:val="24"/>
        </w:rPr>
        <w:t xml:space="preserve">el anexo </w:t>
      </w:r>
      <w:r>
        <w:rPr>
          <w:sz w:val="24"/>
        </w:rPr>
        <w:t xml:space="preserve">4), y por lo tanto en mi calidad </w:t>
      </w:r>
      <w:r>
        <w:rPr>
          <w:sz w:val="24"/>
        </w:rPr>
        <w:t xml:space="preserve">de </w:t>
      </w:r>
      <w:r>
        <w:rPr>
          <w:sz w:val="24"/>
        </w:rPr>
        <w:t xml:space="preserve">ciudadana </w:t>
      </w:r>
      <w:r>
        <w:rPr>
          <w:sz w:val="24"/>
        </w:rPr>
        <w:t xml:space="preserve">italiana/europea </w:t>
      </w:r>
      <w:r>
        <w:rPr>
          <w:sz w:val="24"/>
        </w:rPr>
        <w:t xml:space="preserve">personalmente </w:t>
      </w:r>
      <w:r>
        <w:rPr>
          <w:sz w:val="24"/>
        </w:rPr>
        <w:t xml:space="preserve">sometida </w:t>
      </w:r>
      <w:r>
        <w:rPr>
          <w:sz w:val="24"/>
        </w:rPr>
        <w:t xml:space="preserve">según </w:t>
      </w:r>
      <w:r>
        <w:rPr>
          <w:sz w:val="24"/>
        </w:rPr>
        <w:t xml:space="preserve">el artículo </w:t>
      </w:r>
      <w:r>
        <w:rPr>
          <w:sz w:val="24"/>
        </w:rPr>
        <w:t xml:space="preserve">4-cuarto </w:t>
      </w:r>
      <w:r>
        <w:rPr>
          <w:sz w:val="24"/>
        </w:rPr>
        <w:t xml:space="preserve">D.L.</w:t>
      </w:r>
    </w:p>
    <w:p>
      <w:pPr>
        <w:spacing w:before="0" w:line="259" w:lineRule="auto"/>
        <w:ind w:start="112" w:end="125" w:firstLine="0"/>
        <w:jc w:val="both"/>
        <w:rPr>
          <w:sz w:val="24"/>
        </w:rPr>
      </w:pPr>
      <w:r>
        <w:rPr>
          <w:sz w:val="24"/>
        </w:rPr>
        <w:t xml:space="preserve">n. 44/2021 a la imposición del tratamiento con las denominadas "vacunas" Covid-19 y, por tanto, destinatario de la sanción prevista en el artículo 4-sexies D.L. n. 44/2021</w:t>
      </w:r>
    </w:p>
    <w:p>
      <w:pPr>
        <w:spacing w:before="151"/>
        <w:ind w:start="4310" w:end="4329" w:firstLine="0"/>
        <w:jc w:val="center"/>
        <w:rPr>
          <w:sz w:val="24"/>
        </w:rPr>
      </w:pPr>
      <w:r>
        <w:rPr>
          <w:spacing w:val="-2"/>
          <w:sz w:val="24"/>
        </w:rPr>
        <w:t xml:space="preserve">CONSIDERANDO QUE</w:t>
      </w:r>
    </w:p>
    <w:p>
      <w:pPr>
        <w:pStyle w:val="ListParagraph"/>
        <w:numPr>
          <w:ilvl w:val="0"/>
          <w:numId w:val="5"/>
        </w:numPr>
        <w:tabs>
          <w:tab w:val="left" w:leader="none" w:pos="834"/>
        </w:tabs>
        <w:spacing w:before="182" w:after="0" w:line="240" w:lineRule="auto"/>
        <w:ind w:start="833" w:end="129" w:hanging="360"/>
        <w:jc w:val="both"/>
        <w:rPr>
          <w:sz w:val="24"/>
        </w:rPr>
      </w:pPr>
      <w:r>
        <w:rPr>
          <w:sz w:val="24"/>
        </w:rPr>
        <w:t xml:space="preserve">Nuestra organización Children's Health Defense, presidida a nivel mundial por Robert Kennedy jr., está comprometida con la protección de la salud infantil también en Europa/Italia.</w:t>
      </w:r>
    </w:p>
    <w:p>
      <w:pPr>
        <w:pStyle w:val="ListParagraph"/>
        <w:numPr>
          <w:ilvl w:val="0"/>
          <w:numId w:val="5"/>
        </w:numPr>
        <w:tabs>
          <w:tab w:val="left" w:leader="none" w:pos="834"/>
        </w:tabs>
        <w:spacing w:before="183" w:after="0" w:line="256" w:lineRule="auto"/>
        <w:ind w:start="833" w:end="127" w:hanging="360"/>
        <w:jc w:val="both"/>
        <w:rPr>
          <w:sz w:val="24"/>
        </w:rPr>
      </w:pPr>
      <w:r>
        <w:rPr>
          <w:sz w:val="24"/>
        </w:rPr>
        <w:t xml:space="preserve">La </w:t>
      </w:r>
      <w:r>
        <w:rPr>
          <w:sz w:val="24"/>
        </w:rPr>
        <w:t xml:space="preserve">Comisión Europea</w:t>
      </w:r>
      <w:r>
        <w:rPr>
          <w:sz w:val="24"/>
        </w:rPr>
        <w:t xml:space="preserve">, mediante </w:t>
      </w:r>
      <w:r>
        <w:rPr>
          <w:sz w:val="24"/>
        </w:rPr>
        <w:t xml:space="preserve">decisiones </w:t>
      </w:r>
      <w:r>
        <w:rPr>
          <w:sz w:val="24"/>
        </w:rPr>
        <w:t xml:space="preserve">de </w:t>
      </w:r>
      <w:r>
        <w:rPr>
          <w:sz w:val="24"/>
        </w:rPr>
        <w:t xml:space="preserve">21.12.2020 </w:t>
      </w:r>
      <w:r>
        <w:rPr>
          <w:sz w:val="24"/>
        </w:rPr>
        <w:t xml:space="preserve">y </w:t>
      </w:r>
      <w:r>
        <w:rPr>
          <w:sz w:val="24"/>
        </w:rPr>
        <w:t xml:space="preserve">06.01.2021 </w:t>
      </w:r>
      <w:r>
        <w:rPr>
          <w:sz w:val="24"/>
        </w:rPr>
        <w:t xml:space="preserve">respectivamente, ha autorizado condicionalmente la comercialización de las dos denominadas "vacunas" de ARNm contra el Covid-19, Comirnaty de Pfizer/BioNTech y Spikevax de Moderna, primero </w:t>
      </w:r>
      <w:r>
        <w:rPr>
          <w:sz w:val="24"/>
        </w:rPr>
        <w:t xml:space="preserve">para adultos y </w:t>
      </w:r>
      <w:r>
        <w:rPr>
          <w:sz w:val="24"/>
        </w:rPr>
        <w:t xml:space="preserve">posteriormente </w:t>
      </w:r>
      <w:r>
        <w:rPr>
          <w:sz w:val="24"/>
        </w:rPr>
        <w:t xml:space="preserve">también </w:t>
      </w:r>
      <w:r>
        <w:rPr>
          <w:sz w:val="24"/>
        </w:rPr>
        <w:t xml:space="preserve">para </w:t>
      </w:r>
      <w:r>
        <w:rPr>
          <w:sz w:val="24"/>
        </w:rPr>
        <w:t xml:space="preserve">menores. Actualmente, las </w:t>
      </w:r>
      <w:r>
        <w:rPr>
          <w:sz w:val="24"/>
        </w:rPr>
        <w:t xml:space="preserve">dos vacunas de </w:t>
      </w:r>
      <w:r>
        <w:rPr>
          <w:spacing w:val="-2"/>
          <w:sz w:val="24"/>
        </w:rPr>
        <w:t xml:space="preserve">ARNm </w:t>
      </w:r>
      <w:r>
        <w:rPr>
          <w:sz w:val="24"/>
        </w:rPr>
        <w:t xml:space="preserve">están autorizadas condicionalmente para la inoculación en menores a partir de los 5 años (Comirnaty de Pfizer/BioNTech) y 6 años (Spikevax de Moderna), </w:t>
      </w:r>
      <w:r>
        <w:rPr>
          <w:spacing w:val="-2"/>
          <w:sz w:val="24"/>
        </w:rPr>
        <w:t xml:space="preserve">respectivamente.</w:t>
      </w:r>
    </w:p>
    <w:p>
      <w:pPr>
        <w:pStyle w:val="ListParagraph"/>
        <w:numPr>
          <w:ilvl w:val="0"/>
          <w:numId w:val="5"/>
        </w:numPr>
        <w:tabs>
          <w:tab w:val="left" w:leader="none" w:pos="834"/>
        </w:tabs>
        <w:spacing w:before="156" w:after="0" w:line="254" w:lineRule="auto"/>
        <w:ind w:start="833" w:end="128" w:hanging="360"/>
        <w:jc w:val="both"/>
        <w:rPr>
          <w:sz w:val="24"/>
        </w:rPr>
      </w:pPr>
      <w:r>
        <w:rPr>
          <w:sz w:val="24"/>
        </w:rPr>
        <w:t xml:space="preserve">Las respectivas autorizaciones condicionales de comercialización se refieren al Reglamento (CE) nº 507/2006 de la Comisión, de 29 de marzo de 2006, sobre la autorización condicional de comercialización de </w:t>
      </w:r>
      <w:r>
        <w:rPr>
          <w:sz w:val="24"/>
        </w:rPr>
        <w:t xml:space="preserve">medicamentos </w:t>
      </w:r>
      <w:r>
        <w:rPr>
          <w:sz w:val="24"/>
        </w:rPr>
        <w:t xml:space="preserve">de </w:t>
      </w:r>
      <w:r>
        <w:rPr>
          <w:sz w:val="24"/>
        </w:rPr>
        <w:t xml:space="preserve">uso </w:t>
      </w:r>
      <w:r>
        <w:rPr>
          <w:sz w:val="24"/>
        </w:rPr>
        <w:t xml:space="preserve">humano</w:t>
      </w:r>
      <w:r>
        <w:rPr>
          <w:sz w:val="24"/>
        </w:rPr>
        <w:t xml:space="preserve">, </w:t>
      </w:r>
      <w:r>
        <w:rPr>
          <w:sz w:val="24"/>
        </w:rPr>
        <w:t xml:space="preserve">así </w:t>
      </w:r>
      <w:r>
        <w:rPr>
          <w:sz w:val="24"/>
        </w:rPr>
        <w:t xml:space="preserve">como </w:t>
      </w:r>
      <w:r>
        <w:rPr>
          <w:sz w:val="24"/>
        </w:rPr>
        <w:t xml:space="preserve">al </w:t>
      </w:r>
      <w:r>
        <w:rPr>
          <w:sz w:val="24"/>
        </w:rPr>
        <w:t xml:space="preserve">Reglamento </w:t>
      </w:r>
      <w:r>
        <w:rPr>
          <w:sz w:val="24"/>
        </w:rPr>
        <w:t xml:space="preserve">(CE) </w:t>
      </w:r>
      <w:r>
        <w:rPr>
          <w:sz w:val="24"/>
        </w:rPr>
        <w:t xml:space="preserve">nº </w:t>
      </w:r>
      <w:r>
        <w:rPr>
          <w:sz w:val="24"/>
        </w:rPr>
        <w:t xml:space="preserve">726/2004 </w:t>
      </w:r>
      <w:r>
        <w:rPr>
          <w:sz w:val="24"/>
        </w:rPr>
        <w:t xml:space="preserve">del </w:t>
      </w:r>
      <w:r>
        <w:rPr>
          <w:sz w:val="24"/>
        </w:rPr>
        <w:t xml:space="preserve">Parlamento </w:t>
      </w:r>
      <w:r>
        <w:rPr>
          <w:sz w:val="24"/>
        </w:rPr>
        <w:t xml:space="preserve">Europeo </w:t>
      </w:r>
      <w:r>
        <w:rPr>
          <w:sz w:val="24"/>
        </w:rPr>
        <w:t xml:space="preserve">y </w:t>
      </w:r>
      <w:r>
        <w:rPr>
          <w:sz w:val="24"/>
        </w:rPr>
        <w:t xml:space="preserve">del </w:t>
      </w:r>
      <w:r>
        <w:rPr>
          <w:sz w:val="24"/>
        </w:rPr>
        <w:t xml:space="preserve">Consejo </w:t>
      </w:r>
      <w:r>
        <w:rPr>
          <w:sz w:val="24"/>
        </w:rPr>
        <w:t xml:space="preserve">por el que se establecen </w:t>
      </w:r>
      <w:r>
        <w:rPr>
          <w:sz w:val="24"/>
        </w:rPr>
        <w:t xml:space="preserve">procedimientos comunitarios </w:t>
      </w:r>
      <w:r>
        <w:rPr>
          <w:sz w:val="24"/>
        </w:rPr>
        <w:t xml:space="preserve">para la </w:t>
      </w:r>
      <w:r>
        <w:rPr>
          <w:sz w:val="24"/>
        </w:rPr>
        <w:t xml:space="preserve">autorización </w:t>
      </w:r>
      <w:r>
        <w:rPr>
          <w:sz w:val="24"/>
        </w:rPr>
        <w:t xml:space="preserve">y </w:t>
      </w:r>
      <w:r>
        <w:rPr>
          <w:sz w:val="24"/>
        </w:rPr>
        <w:t xml:space="preserve">supervisión </w:t>
      </w:r>
      <w:r>
        <w:rPr>
          <w:sz w:val="24"/>
        </w:rPr>
        <w:t xml:space="preserve">de </w:t>
      </w:r>
      <w:r>
        <w:rPr>
          <w:sz w:val="24"/>
        </w:rPr>
        <w:t xml:space="preserve">medicamentos </w:t>
      </w:r>
      <w:r>
        <w:rPr>
          <w:sz w:val="24"/>
        </w:rPr>
        <w:t xml:space="preserve">de </w:t>
      </w:r>
      <w:r>
        <w:rPr>
          <w:sz w:val="24"/>
        </w:rPr>
        <w:t xml:space="preserve">uso </w:t>
      </w:r>
      <w:r>
        <w:rPr>
          <w:sz w:val="24"/>
        </w:rPr>
        <w:t xml:space="preserve">humano </w:t>
      </w:r>
      <w:r>
        <w:rPr>
          <w:sz w:val="24"/>
        </w:rPr>
        <w:t xml:space="preserve">y</w:t>
      </w:r>
    </w:p>
    <w:p>
      <w:pPr>
        <w:spacing w:after="0" w:line="254" w:lineRule="auto"/>
        <w:jc w:val="both"/>
        <w:rPr>
          <w:sz w:val="24"/>
        </w:rPr>
        <w:sectPr>
          <w:pgSz w:w="11900" w:h="16850"/>
          <w:pgMar w:top="1380" w:right="1000" w:bottom="800" w:left="1020" w:header="0" w:footer="605"/>
        </w:sectPr>
      </w:pPr>
    </w:p>
    <w:p>
      <w:pPr>
        <w:spacing w:before="78" w:line="259" w:lineRule="auto"/>
        <w:ind w:start="833" w:end="128" w:firstLine="0"/>
        <w:jc w:val="both"/>
        <w:rPr>
          <w:sz w:val="24"/>
        </w:rPr>
      </w:pPr>
      <w:r>
        <w:rPr>
          <w:sz w:val="24"/>
        </w:rPr>
        <w:t xml:space="preserve">que establece la Agencia Europea del Medicamento, y mencionan expresamente que </w:t>
      </w:r>
      <w:r>
        <w:rPr>
          <w:b/>
          <w:sz w:val="24"/>
        </w:rPr>
        <w:t xml:space="preserve">las dos sustancias cuya comercialización se ha autorizado condicionalmente contienen ARNm (nivel de nucleósido modificado</w:t>
      </w:r>
      <w:r>
        <w:rPr>
          <w:sz w:val="24"/>
        </w:rPr>
        <w:t xml:space="preserve">).</w:t>
      </w:r>
    </w:p>
    <w:p>
      <w:pPr>
        <w:pStyle w:val="ListParagraph"/>
        <w:numPr>
          <w:ilvl w:val="0"/>
          <w:numId w:val="5"/>
        </w:numPr>
        <w:tabs>
          <w:tab w:val="left" w:leader="none" w:pos="834"/>
        </w:tabs>
        <w:spacing w:before="160" w:after="0" w:line="254" w:lineRule="auto"/>
        <w:ind w:start="833" w:end="128" w:hanging="360"/>
        <w:jc w:val="both"/>
        <w:rPr>
          <w:sz w:val="24"/>
        </w:rPr>
      </w:pPr>
      <w:r>
        <w:rPr>
          <w:b/>
          <w:sz w:val="24"/>
        </w:rPr>
        <w:t xml:space="preserve">Las dos llamadas "vacunas" contra el Covid-19, Comirnaty de Pfizer-BioNTech y Spikevax de Moderna, contienen una molécula llamada ARN mensajero (ARNm) con instrucciones </w:t>
      </w:r>
      <w:r>
        <w:rPr>
          <w:b/>
          <w:sz w:val="24"/>
        </w:rPr>
        <w:t xml:space="preserve">para </w:t>
      </w:r>
      <w:r>
        <w:rPr>
          <w:b/>
          <w:sz w:val="24"/>
        </w:rPr>
        <w:t xml:space="preserve">producir </w:t>
      </w:r>
      <w:r>
        <w:rPr>
          <w:b/>
          <w:sz w:val="24"/>
        </w:rPr>
        <w:t xml:space="preserve">una </w:t>
      </w:r>
      <w:r>
        <w:rPr>
          <w:b/>
          <w:sz w:val="24"/>
        </w:rPr>
        <w:t xml:space="preserve">proteína </w:t>
      </w:r>
      <w:r>
        <w:rPr>
          <w:b/>
          <w:sz w:val="24"/>
        </w:rPr>
        <w:t xml:space="preserve">codificada </w:t>
      </w:r>
      <w:r>
        <w:rPr>
          <w:b/>
          <w:sz w:val="24"/>
        </w:rPr>
        <w:t xml:space="preserve">por </w:t>
      </w:r>
      <w:r>
        <w:rPr>
          <w:b/>
          <w:sz w:val="24"/>
        </w:rPr>
        <w:t xml:space="preserve">el SARS-CoV-2, </w:t>
      </w:r>
      <w:r>
        <w:rPr>
          <w:b/>
          <w:sz w:val="24"/>
        </w:rPr>
        <w:t xml:space="preserve">el </w:t>
      </w:r>
      <w:r>
        <w:rPr>
          <w:b/>
          <w:sz w:val="24"/>
        </w:rPr>
        <w:t xml:space="preserve">virus </w:t>
      </w:r>
      <w:r>
        <w:rPr>
          <w:b/>
          <w:sz w:val="24"/>
        </w:rPr>
        <w:t xml:space="preserve">responsable del Covid-19 </w:t>
      </w:r>
      <w:r>
        <w:rPr>
          <w:sz w:val="24"/>
        </w:rPr>
        <w:t xml:space="preserve">(véase el sitio web de la AIFA </w:t>
      </w:r>
      <w:hyperlink r:id="rId34">
        <w:r>
          <w:rPr>
            <w:sz w:val="24"/>
          </w:rPr>
          <w:t xml:space="preserve">https://www.aifa.gov.it/comirnaty</w:t>
        </w:r>
      </w:hyperlink>
      <w:r>
        <w:rPr>
          <w:spacing w:val="-2"/>
          <w:sz w:val="24"/>
        </w:rPr>
        <w:t xml:space="preserve"> https://www.aifa.gov.it/moderna).</w:t>
      </w:r>
    </w:p>
    <w:p>
      <w:pPr>
        <w:pStyle w:val="ListParagraph"/>
        <w:numPr>
          <w:ilvl w:val="0"/>
          <w:numId w:val="5"/>
        </w:numPr>
        <w:tabs>
          <w:tab w:val="left" w:leader="none" w:pos="834"/>
        </w:tabs>
        <w:spacing w:before="165" w:after="0" w:line="254" w:lineRule="auto"/>
        <w:ind w:start="833" w:end="128" w:hanging="360"/>
        <w:jc w:val="both"/>
        <w:rPr>
          <w:b/>
          <w:sz w:val="24"/>
        </w:rPr>
      </w:pPr>
      <w:r>
        <w:rPr>
          <w:b/>
          <w:sz w:val="24"/>
        </w:rPr>
        <w:t xml:space="preserve">Como se muestra a continuación, existen pruebas plausibles y experimentales de que el ARNm contenido en la sustancia Comirnaty de Pfizer/BioNTech puede retrotranscribirse en el ADN y puede insertarse en el genoma humano. Dado que la sustancia Spikevax de Moderna es muy similar al Comirnaty de Pfizer/BioNTech, se supone que lo que ya se ha demostrado en estudios científicos con respecto al Comirnaty también se aplica al Spikevax.</w:t>
      </w:r>
    </w:p>
    <w:p>
      <w:pPr>
        <w:pStyle w:val="ListParagraph"/>
        <w:numPr>
          <w:ilvl w:val="0"/>
          <w:numId w:val="5"/>
        </w:numPr>
        <w:tabs>
          <w:tab w:val="left" w:leader="none" w:pos="834"/>
        </w:tabs>
        <w:spacing w:before="170" w:after="0" w:line="256" w:lineRule="auto"/>
        <w:ind w:start="833" w:end="126" w:hanging="360"/>
        <w:jc w:val="both"/>
        <w:rPr>
          <w:sz w:val="24"/>
        </w:rPr>
      </w:pPr>
      <w:r>
        <w:rPr>
          <w:sz w:val="24"/>
        </w:rPr>
        <w:t xml:space="preserve">Los nucleósidos </w:t>
      </w:r>
      <w:r>
        <w:rPr>
          <w:sz w:val="24"/>
        </w:rPr>
        <w:t xml:space="preserve">constituyen </w:t>
      </w:r>
      <w:r>
        <w:rPr>
          <w:sz w:val="24"/>
        </w:rPr>
        <w:t xml:space="preserve">la </w:t>
      </w:r>
      <w:r>
        <w:rPr>
          <w:sz w:val="24"/>
        </w:rPr>
        <w:t xml:space="preserve">base </w:t>
      </w:r>
      <w:r>
        <w:rPr>
          <w:sz w:val="24"/>
        </w:rPr>
        <w:t xml:space="preserve">del </w:t>
      </w:r>
      <w:r>
        <w:rPr>
          <w:sz w:val="24"/>
        </w:rPr>
        <w:t xml:space="preserve">ARN. El </w:t>
      </w:r>
      <w:r>
        <w:rPr>
          <w:sz w:val="24"/>
        </w:rPr>
        <w:t xml:space="preserve">ARN </w:t>
      </w:r>
      <w:r>
        <w:rPr>
          <w:sz w:val="24"/>
        </w:rPr>
        <w:t xml:space="preserve">es </w:t>
      </w:r>
      <w:r>
        <w:rPr>
          <w:sz w:val="24"/>
        </w:rPr>
        <w:t xml:space="preserve">un </w:t>
      </w:r>
      <w:r>
        <w:rPr>
          <w:sz w:val="24"/>
        </w:rPr>
        <w:t xml:space="preserve">ácido </w:t>
      </w:r>
      <w:r>
        <w:rPr>
          <w:sz w:val="24"/>
        </w:rPr>
        <w:t xml:space="preserve">nucleico </w:t>
      </w:r>
      <w:r>
        <w:rPr>
          <w:sz w:val="24"/>
        </w:rPr>
        <w:t xml:space="preserve">y </w:t>
      </w:r>
      <w:r>
        <w:rPr>
          <w:sz w:val="24"/>
        </w:rPr>
        <w:t xml:space="preserve">es </w:t>
      </w:r>
      <w:r>
        <w:rPr>
          <w:sz w:val="24"/>
        </w:rPr>
        <w:t xml:space="preserve">esencial </w:t>
      </w:r>
      <w:r>
        <w:rPr>
          <w:sz w:val="24"/>
        </w:rPr>
        <w:t xml:space="preserve">para la </w:t>
      </w:r>
      <w:r>
        <w:rPr>
          <w:sz w:val="24"/>
        </w:rPr>
        <w:t xml:space="preserve">síntesis de proteínas. Los planes de construcción de las proteínas </w:t>
      </w:r>
      <w:r>
        <w:rPr>
          <w:sz w:val="24"/>
        </w:rPr>
        <w:t xml:space="preserve">del cuerpo humano se almacenan en el genoma, </w:t>
      </w:r>
      <w:r>
        <w:rPr>
          <w:sz w:val="24"/>
        </w:rPr>
        <w:t xml:space="preserve">en </w:t>
      </w:r>
      <w:r>
        <w:rPr>
          <w:sz w:val="24"/>
        </w:rPr>
        <w:t xml:space="preserve">el </w:t>
      </w:r>
      <w:r>
        <w:rPr>
          <w:sz w:val="24"/>
        </w:rPr>
        <w:t xml:space="preserve">ADN </w:t>
      </w:r>
      <w:r>
        <w:rPr>
          <w:sz w:val="24"/>
        </w:rPr>
        <w:t xml:space="preserve">del </w:t>
      </w:r>
      <w:r>
        <w:rPr>
          <w:sz w:val="24"/>
        </w:rPr>
        <w:t xml:space="preserve">núcleo </w:t>
      </w:r>
      <w:r>
        <w:rPr>
          <w:sz w:val="24"/>
        </w:rPr>
        <w:t xml:space="preserve">de </w:t>
      </w:r>
      <w:r>
        <w:rPr>
          <w:sz w:val="24"/>
        </w:rPr>
        <w:t xml:space="preserve">la </w:t>
      </w:r>
      <w:r>
        <w:rPr>
          <w:sz w:val="24"/>
        </w:rPr>
        <w:t xml:space="preserve">célula</w:t>
      </w:r>
      <w:r>
        <w:rPr>
          <w:sz w:val="24"/>
        </w:rPr>
        <w:t xml:space="preserve">, </w:t>
      </w:r>
      <w:r>
        <w:rPr>
          <w:sz w:val="24"/>
        </w:rPr>
        <w:t xml:space="preserve">donde </w:t>
      </w:r>
      <w:r>
        <w:rPr>
          <w:sz w:val="24"/>
        </w:rPr>
        <w:t xml:space="preserve">se </w:t>
      </w:r>
      <w:r>
        <w:rPr>
          <w:sz w:val="24"/>
        </w:rPr>
        <w:t xml:space="preserve">transcriben </w:t>
      </w:r>
      <w:r>
        <w:rPr>
          <w:sz w:val="24"/>
        </w:rPr>
        <w:t xml:space="preserve">en </w:t>
      </w:r>
      <w:r>
        <w:rPr>
          <w:spacing w:val="-14"/>
          <w:sz w:val="24"/>
        </w:rPr>
        <w:t xml:space="preserve">ARNm</w:t>
      </w:r>
      <w:r>
        <w:rPr>
          <w:sz w:val="24"/>
        </w:rPr>
        <w:t xml:space="preserve">. </w:t>
      </w:r>
      <w:r>
        <w:rPr>
          <w:sz w:val="24"/>
        </w:rPr>
        <w:t xml:space="preserve">Una vez que </w:t>
      </w:r>
      <w:r>
        <w:rPr>
          <w:sz w:val="24"/>
        </w:rPr>
        <w:t xml:space="preserve">el </w:t>
      </w:r>
      <w:r>
        <w:rPr>
          <w:sz w:val="24"/>
        </w:rPr>
        <w:t xml:space="preserve">ARNm </w:t>
      </w:r>
      <w:r>
        <w:rPr>
          <w:sz w:val="24"/>
        </w:rPr>
        <w:t xml:space="preserve">se </w:t>
      </w:r>
      <w:r>
        <w:rPr>
          <w:sz w:val="24"/>
        </w:rPr>
        <w:t xml:space="preserve">forma </w:t>
      </w:r>
      <w:r>
        <w:rPr>
          <w:sz w:val="24"/>
        </w:rPr>
        <w:t xml:space="preserve">con </w:t>
      </w:r>
      <w:r>
        <w:rPr>
          <w:sz w:val="24"/>
        </w:rPr>
        <w:t xml:space="preserve">el </w:t>
      </w:r>
      <w:r>
        <w:rPr>
          <w:sz w:val="24"/>
        </w:rPr>
        <w:t xml:space="preserve">plan de construcción/modelo </w:t>
      </w:r>
      <w:r>
        <w:rPr>
          <w:sz w:val="24"/>
        </w:rPr>
        <w:t xml:space="preserve">de </w:t>
      </w:r>
      <w:r>
        <w:rPr>
          <w:sz w:val="24"/>
        </w:rPr>
        <w:t xml:space="preserve">la </w:t>
      </w:r>
      <w:r>
        <w:rPr>
          <w:sz w:val="24"/>
        </w:rPr>
        <w:t xml:space="preserve">proteína, </w:t>
      </w:r>
      <w:r>
        <w:rPr>
          <w:sz w:val="24"/>
        </w:rPr>
        <w:t xml:space="preserve">el </w:t>
      </w:r>
      <w:r>
        <w:rPr>
          <w:sz w:val="24"/>
        </w:rPr>
        <w:t xml:space="preserve">ARNm sale del núcleo celular. Fuera del núcleo celular, los ribosomas leen este plan de construcción y construyen la proteína correspondiente. En una célula humana hay más de cien mil moléculas de ARNm simultáneamente. Los ribosomas </w:t>
      </w:r>
      <w:r>
        <w:rPr>
          <w:sz w:val="24"/>
        </w:rPr>
        <w:t xml:space="preserve">sólo pueden leer la información durante un periodo restringido, ya que los ARNm suelen </w:t>
      </w:r>
      <w:r>
        <w:rPr>
          <w:spacing w:val="-2"/>
          <w:sz w:val="24"/>
        </w:rPr>
        <w:t xml:space="preserve">degradarse </w:t>
      </w:r>
      <w:r>
        <w:rPr>
          <w:sz w:val="24"/>
        </w:rPr>
        <w:t xml:space="preserve">rápidamente</w:t>
      </w:r>
      <w:r>
        <w:rPr>
          <w:spacing w:val="-2"/>
          <w:sz w:val="24"/>
        </w:rPr>
        <w:t xml:space="preserve">.</w:t>
      </w:r>
    </w:p>
    <w:p>
      <w:pPr>
        <w:pStyle w:val="ListParagraph"/>
        <w:numPr>
          <w:ilvl w:val="0"/>
          <w:numId w:val="5"/>
        </w:numPr>
        <w:tabs>
          <w:tab w:val="left" w:leader="none" w:pos="834"/>
          <w:tab w:val="left" w:leader="none" w:pos="2057"/>
          <w:tab w:val="left" w:leader="none" w:pos="2342"/>
          <w:tab w:val="left" w:leader="none" w:pos="2933"/>
          <w:tab w:val="left" w:leader="none" w:pos="3464"/>
          <w:tab w:val="left" w:leader="none" w:pos="3807"/>
          <w:tab w:val="left" w:leader="none" w:pos="4584"/>
          <w:tab w:val="left" w:leader="none" w:pos="4966"/>
          <w:tab w:val="left" w:leader="none" w:pos="5574"/>
          <w:tab w:val="left" w:leader="none" w:pos="5814"/>
          <w:tab w:val="left" w:leader="none" w:pos="6404"/>
          <w:tab w:val="left" w:leader="none" w:pos="6997"/>
          <w:tab w:val="left" w:leader="none" w:pos="7686"/>
          <w:tab w:val="left" w:leader="none" w:pos="7955"/>
          <w:tab w:val="left" w:leader="none" w:pos="8949"/>
          <w:tab w:val="left" w:leader="none" w:pos="9042"/>
        </w:tabs>
        <w:spacing w:before="165" w:after="0" w:line="237" w:lineRule="auto"/>
        <w:ind w:start="833" w:end="128" w:hanging="360"/>
        <w:jc w:val="left"/>
        <w:rPr>
          <w:sz w:val="24"/>
        </w:rPr>
      </w:pPr>
      <w:r>
        <w:rPr/>
        <w:pict>
          <v:rect id="docshape3" style="position:absolute;margin-left:73.223999pt;margin-top:21.923906pt;width:466.51pt;height:13.8pt;mso-position-horizontal-relative:page;mso-position-vertical-relative:paragraph;z-index:-15923200" filled="true" fillcolor="#ffffff" stroked="false">
            <v:fill type="solid"/>
            <w10:wrap type="none"/>
          </v:rect>
        </w:pict>
      </w:r>
      <w:r>
        <w:rPr>
          <w:sz w:val="24"/>
        </w:rPr>
        <w:t xml:space="preserve">En el caso de las "vacunas de ARNm", sin embargo, el ARNm se construye sintéticamente en el laboratorio. Según </w:t>
      </w:r>
      <w:r>
        <w:rPr>
          <w:sz w:val="24"/>
        </w:rPr>
        <w:t xml:space="preserve">lo que se sabe desde hace muchos meses, </w:t>
      </w:r>
      <w:r>
        <w:rPr>
          <w:b/>
          <w:sz w:val="24"/>
        </w:rPr>
        <w:t xml:space="preserve">en contra de </w:t>
      </w:r>
      <w:r>
        <w:rPr>
          <w:b/>
          <w:sz w:val="24"/>
        </w:rPr>
        <w:t xml:space="preserve">lo </w:t>
      </w:r>
      <w:r>
        <w:rPr>
          <w:b/>
          <w:sz w:val="24"/>
        </w:rPr>
        <w:t xml:space="preserve">declarado </w:t>
      </w:r>
      <w:r>
        <w:rPr>
          <w:b/>
          <w:sz w:val="24"/>
        </w:rPr>
        <w:t xml:space="preserve">oficialmente </w:t>
      </w:r>
      <w:r>
        <w:rPr>
          <w:b/>
          <w:sz w:val="24"/>
        </w:rPr>
        <w:t xml:space="preserve">a </w:t>
      </w:r>
      <w:r>
        <w:rPr>
          <w:b/>
          <w:sz w:val="24"/>
        </w:rPr>
        <w:t xml:space="preserve">la </w:t>
      </w:r>
      <w:r>
        <w:rPr>
          <w:b/>
          <w:sz w:val="24"/>
        </w:rPr>
        <w:t xml:space="preserve">población </w:t>
      </w:r>
      <w:r>
        <w:rPr>
          <w:b/>
          <w:sz w:val="24"/>
        </w:rPr>
        <w:t xml:space="preserve">por </w:t>
      </w:r>
      <w:r>
        <w:rPr>
          <w:b/>
          <w:sz w:val="24"/>
        </w:rPr>
        <w:t xml:space="preserve">las </w:t>
      </w:r>
      <w:r>
        <w:rPr>
          <w:b/>
          <w:sz w:val="24"/>
        </w:rPr>
        <w:t xml:space="preserve">instituciones </w:t>
      </w:r>
      <w:r>
        <w:rPr>
          <w:b/>
          <w:sz w:val="24"/>
        </w:rPr>
        <w:t xml:space="preserve">responsables de la campaña de "vacunación", este ARNm sintético no permanece en el músculo </w:t>
      </w:r>
      <w:r>
        <w:rPr>
          <w:b/>
          <w:sz w:val="24"/>
        </w:rPr>
        <w:t xml:space="preserve">del </w:t>
      </w:r>
      <w:r>
        <w:rPr>
          <w:b/>
          <w:sz w:val="24"/>
        </w:rPr>
        <w:t xml:space="preserve">brazo </w:t>
      </w:r>
      <w:r>
        <w:rPr>
          <w:b/>
          <w:sz w:val="24"/>
        </w:rPr>
        <w:t xml:space="preserve">donde </w:t>
      </w:r>
      <w:r>
        <w:rPr>
          <w:b/>
          <w:sz w:val="24"/>
        </w:rPr>
        <w:t xml:space="preserve">se realiza </w:t>
      </w:r>
      <w:r>
        <w:rPr>
          <w:b/>
          <w:sz w:val="24"/>
        </w:rPr>
        <w:t xml:space="preserve">la inoculación</w:t>
      </w:r>
      <w:r>
        <w:rPr>
          <w:b/>
          <w:sz w:val="24"/>
        </w:rPr>
        <w:t xml:space="preserve">, </w:t>
      </w:r>
      <w:r>
        <w:rPr>
          <w:b/>
          <w:sz w:val="24"/>
        </w:rPr>
        <w:t xml:space="preserve">sino que </w:t>
      </w:r>
      <w:r>
        <w:rPr>
          <w:b/>
          <w:sz w:val="24"/>
        </w:rPr>
        <w:t xml:space="preserve">puede </w:t>
      </w:r>
      <w:r>
        <w:rPr>
          <w:b/>
          <w:sz w:val="24"/>
        </w:rPr>
        <w:t xml:space="preserve">dispersarse </w:t>
      </w:r>
      <w:r>
        <w:rPr>
          <w:b/>
          <w:spacing w:val="-2"/>
          <w:sz w:val="24"/>
        </w:rPr>
        <w:t xml:space="preserve">por</w:t>
      </w:r>
      <w:r>
        <w:rPr>
          <w:b/>
          <w:sz w:val="24"/>
        </w:rPr>
        <w:tab/>
      </w:r>
      <w:r>
        <w:rPr>
          <w:b/>
          <w:spacing w:val="-4"/>
          <w:sz w:val="24"/>
        </w:rPr>
        <w:t xml:space="preserve">el</w:t>
      </w:r>
      <w:r>
        <w:rPr>
          <w:b/>
          <w:sz w:val="24"/>
        </w:rPr>
        <w:tab/>
      </w:r>
      <w:r>
        <w:rPr>
          <w:b/>
          <w:spacing w:val="-4"/>
          <w:sz w:val="24"/>
        </w:rPr>
        <w:t xml:space="preserve">cuerpo,</w:t>
      </w:r>
      <w:r>
        <w:rPr>
          <w:b/>
          <w:sz w:val="24"/>
        </w:rPr>
        <w:tab/>
      </w:r>
      <w:r>
        <w:rPr>
          <w:b/>
          <w:spacing w:val="-4"/>
          <w:sz w:val="24"/>
        </w:rPr>
        <w:t xml:space="preserve">incluso</w:t>
      </w:r>
      <w:r>
        <w:rPr>
          <w:b/>
          <w:sz w:val="24"/>
        </w:rPr>
        <w:tab/>
      </w:r>
      <w:r>
        <w:rPr>
          <w:b/>
          <w:spacing w:val="-2"/>
          <w:sz w:val="24"/>
        </w:rPr>
        <w:t xml:space="preserve">atravesando</w:t>
      </w:r>
      <w:r>
        <w:rPr>
          <w:b/>
          <w:sz w:val="24"/>
        </w:rPr>
        <w:tab/>
        <w:tab/>
      </w:r>
      <w:r>
        <w:rPr>
          <w:b/>
          <w:spacing w:val="-4"/>
          <w:sz w:val="24"/>
        </w:rPr>
        <w:t xml:space="preserve">el</w:t>
      </w:r>
      <w:r>
        <w:rPr>
          <w:b/>
          <w:sz w:val="24"/>
        </w:rPr>
        <w:tab/>
      </w:r>
      <w:r>
        <w:rPr>
          <w:b/>
          <w:spacing w:val="-2"/>
          <w:sz w:val="24"/>
        </w:rPr>
        <w:t xml:space="preserve">sangre-cerebro</w:t>
      </w:r>
      <w:r>
        <w:rPr>
          <w:b/>
          <w:sz w:val="24"/>
        </w:rPr>
        <w:tab/>
      </w:r>
      <w:r>
        <w:rPr>
          <w:b/>
          <w:spacing w:val="-2"/>
          <w:sz w:val="24"/>
        </w:rPr>
        <w:t xml:space="preserve">barrera hematoencefálica</w:t>
      </w:r>
      <w:r>
        <w:rPr>
          <w:b/>
          <w:sz w:val="24"/>
        </w:rPr>
        <w:tab/>
      </w:r>
      <w:r>
        <w:rPr>
          <w:spacing w:val="-2"/>
          <w:sz w:val="24"/>
        </w:rPr>
        <w:t xml:space="preserve">(</w:t>
      </w:r>
      <w:r>
        <w:rPr>
          <w:i/>
          <w:spacing w:val="-2"/>
          <w:sz w:val="24"/>
        </w:rPr>
        <w:t xml:space="preserve">Nature </w:t>
      </w:r>
      <w:r>
        <w:rPr>
          <w:i/>
          <w:sz w:val="24"/>
        </w:rPr>
        <w:t xml:space="preserve">Neuroscience</w:t>
      </w:r>
      <w:r>
        <w:rPr>
          <w:sz w:val="24"/>
        </w:rPr>
        <w:t xml:space="preserve">, </w:t>
      </w:r>
      <w:r>
        <w:rPr>
          <w:i/>
          <w:sz w:val="24"/>
        </w:rPr>
        <w:t xml:space="preserve">La </w:t>
      </w:r>
      <w:r>
        <w:rPr>
          <w:i/>
          <w:sz w:val="24"/>
        </w:rPr>
        <w:t xml:space="preserve">proteína </w:t>
      </w:r>
      <w:r>
        <w:rPr>
          <w:i/>
          <w:sz w:val="24"/>
        </w:rPr>
        <w:t xml:space="preserve">S1 </w:t>
      </w:r>
      <w:r>
        <w:rPr>
          <w:i/>
          <w:sz w:val="24"/>
        </w:rPr>
        <w:t xml:space="preserve">del SARS-CoV-2 </w:t>
      </w:r>
      <w:r>
        <w:rPr>
          <w:i/>
          <w:sz w:val="24"/>
        </w:rPr>
        <w:t xml:space="preserve">atraviesa </w:t>
      </w:r>
      <w:r>
        <w:rPr>
          <w:i/>
          <w:sz w:val="24"/>
        </w:rPr>
        <w:t xml:space="preserve">la </w:t>
      </w:r>
      <w:r>
        <w:rPr>
          <w:i/>
          <w:sz w:val="24"/>
        </w:rPr>
        <w:t xml:space="preserve">barrera </w:t>
      </w:r>
      <w:r>
        <w:rPr>
          <w:i/>
          <w:sz w:val="24"/>
        </w:rPr>
        <w:t xml:space="preserve">hematoencefálica </w:t>
      </w:r>
      <w:r>
        <w:rPr>
          <w:i/>
          <w:sz w:val="24"/>
        </w:rPr>
        <w:t xml:space="preserve">en ratones, Elizabeth M. Rhea et al</w:t>
      </w:r>
      <w:r>
        <w:rPr>
          <w:sz w:val="24"/>
        </w:rPr>
        <w:t xml:space="preserve">) y se ha encontrado en el organismo de personas tratadas con </w:t>
      </w:r>
      <w:r>
        <w:rPr>
          <w:sz w:val="24"/>
        </w:rPr>
        <w:t xml:space="preserve">estas </w:t>
      </w:r>
      <w:r>
        <w:rPr>
          <w:sz w:val="24"/>
        </w:rPr>
        <w:t xml:space="preserve">sustancias </w:t>
      </w:r>
      <w:r>
        <w:rPr>
          <w:sz w:val="24"/>
        </w:rPr>
        <w:t xml:space="preserve">incluso </w:t>
      </w:r>
      <w:r>
        <w:rPr>
          <w:sz w:val="24"/>
        </w:rPr>
        <w:t xml:space="preserve">meses </w:t>
      </w:r>
      <w:r>
        <w:rPr>
          <w:sz w:val="24"/>
        </w:rPr>
        <w:t xml:space="preserve">después de </w:t>
      </w:r>
      <w:r>
        <w:rPr>
          <w:sz w:val="24"/>
        </w:rPr>
        <w:t xml:space="preserve">la inoculación. </w:t>
      </w:r>
      <w:r>
        <w:rPr>
          <w:sz w:val="24"/>
        </w:rPr>
        <w:t xml:space="preserve">Después de que </w:t>
      </w:r>
      <w:r>
        <w:rPr>
          <w:sz w:val="24"/>
        </w:rPr>
        <w:t xml:space="preserve">algunas </w:t>
      </w:r>
      <w:r>
        <w:rPr>
          <w:sz w:val="24"/>
        </w:rPr>
        <w:t xml:space="preserve">partículas </w:t>
      </w:r>
      <w:r>
        <w:rPr>
          <w:sz w:val="24"/>
        </w:rPr>
        <w:t xml:space="preserve">hayan sido </w:t>
      </w:r>
      <w:r>
        <w:rPr>
          <w:sz w:val="24"/>
        </w:rPr>
        <w:t xml:space="preserve">absorbidas </w:t>
      </w:r>
      <w:r>
        <w:rPr>
          <w:sz w:val="24"/>
        </w:rPr>
        <w:t xml:space="preserve">y </w:t>
      </w:r>
      <w:r>
        <w:rPr>
          <w:sz w:val="24"/>
        </w:rPr>
        <w:t xml:space="preserve">la proteína de </w:t>
      </w:r>
      <w:r>
        <w:rPr>
          <w:sz w:val="24"/>
        </w:rPr>
        <w:t xml:space="preserve">espiga </w:t>
      </w:r>
      <w:r>
        <w:rPr>
          <w:sz w:val="24"/>
        </w:rPr>
        <w:t xml:space="preserve">haya </w:t>
      </w:r>
      <w:r>
        <w:rPr>
          <w:sz w:val="24"/>
        </w:rPr>
        <w:t xml:space="preserve">sido </w:t>
      </w:r>
      <w:r>
        <w:rPr>
          <w:sz w:val="24"/>
        </w:rPr>
        <w:t xml:space="preserve">producida </w:t>
      </w:r>
      <w:r>
        <w:rPr>
          <w:sz w:val="24"/>
        </w:rPr>
        <w:t xml:space="preserve">por </w:t>
      </w:r>
      <w:r>
        <w:rPr>
          <w:sz w:val="24"/>
        </w:rPr>
        <w:t xml:space="preserve">ellas, </w:t>
      </w:r>
      <w:r>
        <w:rPr>
          <w:sz w:val="24"/>
        </w:rPr>
        <w:t xml:space="preserve">esta </w:t>
      </w:r>
      <w:r>
        <w:rPr>
          <w:sz w:val="24"/>
        </w:rPr>
        <w:t xml:space="preserve">proteína de </w:t>
      </w:r>
      <w:r>
        <w:rPr>
          <w:sz w:val="24"/>
        </w:rPr>
        <w:t xml:space="preserve">espiga </w:t>
      </w:r>
      <w:r>
        <w:rPr>
          <w:sz w:val="24"/>
        </w:rPr>
        <w:t xml:space="preserve">puede facilitar </w:t>
      </w:r>
      <w:r>
        <w:rPr>
          <w:sz w:val="24"/>
        </w:rPr>
        <w:t xml:space="preserve">el </w:t>
      </w:r>
      <w:r>
        <w:rPr>
          <w:sz w:val="24"/>
        </w:rPr>
        <w:t xml:space="preserve">paso </w:t>
      </w:r>
      <w:r>
        <w:rPr>
          <w:sz w:val="24"/>
        </w:rPr>
        <w:t xml:space="preserve">de </w:t>
      </w:r>
      <w:r>
        <w:rPr>
          <w:sz w:val="24"/>
        </w:rPr>
        <w:t xml:space="preserve">otras </w:t>
      </w:r>
      <w:r>
        <w:rPr>
          <w:sz w:val="24"/>
        </w:rPr>
        <w:t xml:space="preserve">partículas de </w:t>
      </w:r>
      <w:r>
        <w:rPr>
          <w:sz w:val="24"/>
        </w:rPr>
        <w:t xml:space="preserve">la "vacuna" </w:t>
      </w:r>
      <w:r>
        <w:rPr>
          <w:sz w:val="24"/>
        </w:rPr>
        <w:t xml:space="preserve">al </w:t>
      </w:r>
      <w:r>
        <w:rPr>
          <w:sz w:val="24"/>
        </w:rPr>
        <w:t xml:space="preserve">cerebro </w:t>
      </w:r>
      <w:r>
        <w:rPr>
          <w:sz w:val="24"/>
        </w:rPr>
        <w:t xml:space="preserve">(</w:t>
      </w:r>
      <w:r>
        <w:rPr>
          <w:i/>
          <w:sz w:val="24"/>
        </w:rPr>
        <w:t xml:space="preserve">A </w:t>
      </w:r>
      <w:r>
        <w:rPr>
          <w:i/>
          <w:sz w:val="24"/>
        </w:rPr>
        <w:t xml:space="preserve">Case </w:t>
      </w:r>
      <w:r>
        <w:rPr>
          <w:i/>
          <w:sz w:val="24"/>
        </w:rPr>
        <w:t xml:space="preserve">Report: </w:t>
      </w:r>
      <w:r>
        <w:rPr>
          <w:i/>
          <w:spacing w:val="-2"/>
          <w:sz w:val="24"/>
        </w:rPr>
        <w:t xml:space="preserve">Multifocal</w:t>
      </w:r>
      <w:r>
        <w:rPr>
          <w:i/>
          <w:sz w:val="24"/>
        </w:rPr>
        <w:tab/>
      </w:r>
      <w:r>
        <w:rPr>
          <w:i/>
          <w:spacing w:val="-2"/>
          <w:sz w:val="24"/>
        </w:rPr>
        <w:t xml:space="preserve">Necrotizante</w:t>
      </w:r>
      <w:r>
        <w:rPr>
          <w:i/>
          <w:sz w:val="24"/>
        </w:rPr>
        <w:tab/>
      </w:r>
      <w:r>
        <w:rPr>
          <w:i/>
          <w:spacing w:val="-2"/>
          <w:sz w:val="24"/>
        </w:rPr>
        <w:t xml:space="preserve">Encefalitis Multifocal</w:t>
      </w:r>
      <w:r>
        <w:rPr>
          <w:i/>
          <w:sz w:val="24"/>
        </w:rPr>
        <w:tab/>
      </w:r>
      <w:r>
        <w:rPr>
          <w:i/>
          <w:spacing w:val="-4"/>
          <w:sz w:val="24"/>
        </w:rPr>
        <w:t xml:space="preserve">y</w:t>
      </w:r>
      <w:r>
        <w:rPr>
          <w:i/>
          <w:sz w:val="24"/>
        </w:rPr>
        <w:tab/>
      </w:r>
      <w:r>
        <w:rPr>
          <w:i/>
          <w:spacing w:val="-2"/>
          <w:sz w:val="24"/>
        </w:rPr>
        <w:t xml:space="preserve">Miocarditis</w:t>
      </w:r>
      <w:r>
        <w:rPr>
          <w:i/>
          <w:sz w:val="24"/>
        </w:rPr>
        <w:tab/>
      </w:r>
      <w:r>
        <w:rPr>
          <w:i/>
          <w:spacing w:val="-2"/>
          <w:sz w:val="24"/>
        </w:rPr>
        <w:t xml:space="preserve">después de</w:t>
      </w:r>
      <w:r>
        <w:rPr>
          <w:i/>
          <w:sz w:val="24"/>
        </w:rPr>
        <w:tab/>
      </w:r>
      <w:r>
        <w:rPr>
          <w:i/>
          <w:spacing w:val="-2"/>
          <w:sz w:val="24"/>
        </w:rPr>
        <w:t xml:space="preserve">BNT162b2</w:t>
      </w:r>
      <w:r>
        <w:rPr>
          <w:i/>
          <w:sz w:val="24"/>
        </w:rPr>
        <w:tab/>
        <w:tab/>
      </w:r>
      <w:r>
        <w:rPr>
          <w:i/>
          <w:spacing w:val="-4"/>
          <w:sz w:val="24"/>
        </w:rPr>
        <w:t xml:space="preserve">mRNA </w:t>
      </w:r>
      <w:r>
        <w:rPr>
          <w:i/>
          <w:sz w:val="24"/>
        </w:rPr>
        <w:t xml:space="preserve">contra Covid-19 </w:t>
      </w:r>
      <w:r>
        <w:rPr>
          <w:spacing w:val="-2"/>
          <w:sz w:val="24"/>
        </w:rPr>
        <w:t xml:space="preserve">https://www.preprints.org/manuscript/202206.0308/v1).</w:t>
      </w:r>
    </w:p>
    <w:p>
      <w:pPr>
        <w:spacing w:before="5" w:line="240" w:lineRule="auto"/>
        <w:rPr>
          <w:sz w:val="18"/>
        </w:rPr>
      </w:pPr>
    </w:p>
    <w:p>
      <w:pPr>
        <w:pStyle w:val="ListParagraph"/>
        <w:numPr>
          <w:ilvl w:val="0"/>
          <w:numId w:val="5"/>
        </w:numPr>
        <w:tabs>
          <w:tab w:val="left" w:leader="none" w:pos="834"/>
        </w:tabs>
        <w:spacing w:before="93" w:after="0" w:line="254" w:lineRule="auto"/>
        <w:ind w:start="833" w:end="127" w:hanging="360"/>
        <w:jc w:val="both"/>
        <w:rPr>
          <w:sz w:val="24"/>
        </w:rPr>
      </w:pPr>
      <w:r>
        <w:rPr>
          <w:b/>
          <w:sz w:val="24"/>
        </w:rPr>
        <w:t xml:space="preserve">En la actualidad, no sólo existe una gran preocupación, sino también pruebas de que el </w:t>
      </w:r>
      <w:r>
        <w:rPr>
          <w:b/>
          <w:sz w:val="24"/>
        </w:rPr>
        <w:t xml:space="preserve">ARNm </w:t>
      </w:r>
      <w:r>
        <w:rPr>
          <w:b/>
          <w:sz w:val="24"/>
        </w:rPr>
        <w:t xml:space="preserve">sintético inoculado </w:t>
      </w:r>
      <w:r>
        <w:rPr>
          <w:b/>
          <w:sz w:val="24"/>
        </w:rPr>
        <w:t xml:space="preserve">puede </w:t>
      </w:r>
      <w:r>
        <w:rPr>
          <w:b/>
          <w:sz w:val="24"/>
        </w:rPr>
        <w:t xml:space="preserve">transcribirse </w:t>
      </w:r>
      <w:r>
        <w:rPr>
          <w:b/>
          <w:sz w:val="24"/>
        </w:rPr>
        <w:t xml:space="preserve">a posteriori en </w:t>
      </w:r>
      <w:r>
        <w:rPr>
          <w:b/>
          <w:sz w:val="24"/>
        </w:rPr>
        <w:t xml:space="preserve">ADN, </w:t>
      </w:r>
      <w:r>
        <w:rPr>
          <w:b/>
          <w:sz w:val="24"/>
        </w:rPr>
        <w:t xml:space="preserve">y </w:t>
      </w:r>
      <w:r>
        <w:rPr>
          <w:b/>
          <w:sz w:val="24"/>
        </w:rPr>
        <w:t xml:space="preserve">que </w:t>
      </w:r>
      <w:r>
        <w:rPr>
          <w:b/>
          <w:sz w:val="24"/>
        </w:rPr>
        <w:t xml:space="preserve">estas </w:t>
      </w:r>
      <w:r>
        <w:rPr>
          <w:b/>
          <w:sz w:val="24"/>
        </w:rPr>
        <w:t xml:space="preserve">copias de </w:t>
      </w:r>
      <w:r>
        <w:rPr>
          <w:b/>
          <w:sz w:val="24"/>
        </w:rPr>
        <w:t xml:space="preserve">ADN </w:t>
      </w:r>
      <w:r>
        <w:rPr>
          <w:b/>
          <w:sz w:val="24"/>
        </w:rPr>
        <w:t xml:space="preserve">pueden insertarse en el ADN cromosómico de las células humanas. Por lo tanto, la información genética del ARN puede contaminar y alterar el genoma humano </w:t>
      </w:r>
      <w:r>
        <w:rPr>
          <w:sz w:val="24"/>
        </w:rPr>
        <w:t xml:space="preserve">(</w:t>
      </w:r>
      <w:r>
        <w:rPr>
          <w:i/>
          <w:sz w:val="24"/>
        </w:rPr>
        <w:t xml:space="preserve">Intracellular Reverse Transcription of Pfizer BioNTech COVID-19 mRNA Vaccine BNT162b" in vitro in human liver cell line, Markus Alden et al</w:t>
      </w:r>
      <w:r>
        <w:rPr>
          <w:sz w:val="24"/>
        </w:rPr>
        <w:t xml:space="preserve">).</w:t>
      </w:r>
    </w:p>
    <w:p>
      <w:pPr>
        <w:spacing w:after="0" w:line="254" w:lineRule="auto"/>
        <w:jc w:val="both"/>
        <w:rPr>
          <w:sz w:val="24"/>
        </w:rPr>
        <w:sectPr>
          <w:pgSz w:w="11900" w:h="16850"/>
          <w:pgMar w:top="1340" w:right="1000" w:bottom="800" w:left="1020" w:header="0" w:footer="605"/>
        </w:sectPr>
      </w:pPr>
    </w:p>
    <w:p>
      <w:pPr>
        <w:pStyle w:val="ListParagraph"/>
        <w:numPr>
          <w:ilvl w:val="0"/>
          <w:numId w:val="5"/>
        </w:numPr>
        <w:tabs>
          <w:tab w:val="left" w:leader="none" w:pos="822"/>
        </w:tabs>
        <w:spacing w:before="78" w:after="0" w:line="254" w:lineRule="auto"/>
        <w:ind w:start="821" w:end="128" w:hanging="360"/>
        <w:jc w:val="both"/>
        <w:rPr>
          <w:b/>
          <w:sz w:val="24"/>
        </w:rPr>
      </w:pPr>
      <w:r>
        <w:rPr>
          <w:sz w:val="24"/>
        </w:rPr>
        <w:t xml:space="preserve">La </w:t>
      </w:r>
      <w:r>
        <w:rPr>
          <w:sz w:val="24"/>
        </w:rPr>
        <w:t xml:space="preserve">opinión </w:t>
      </w:r>
      <w:r>
        <w:rPr>
          <w:sz w:val="24"/>
        </w:rPr>
        <w:t xml:space="preserve">científica </w:t>
      </w:r>
      <w:r>
        <w:rPr>
          <w:sz w:val="24"/>
        </w:rPr>
        <w:t xml:space="preserve">de </w:t>
      </w:r>
      <w:r>
        <w:rPr>
          <w:sz w:val="24"/>
        </w:rPr>
        <w:t xml:space="preserve">dos </w:t>
      </w:r>
      <w:r>
        <w:rPr>
          <w:sz w:val="24"/>
        </w:rPr>
        <w:t xml:space="preserve">microbiólogos </w:t>
      </w:r>
      <w:r>
        <w:rPr>
          <w:sz w:val="24"/>
        </w:rPr>
        <w:t xml:space="preserve">y </w:t>
      </w:r>
      <w:r>
        <w:rPr>
          <w:sz w:val="24"/>
        </w:rPr>
        <w:t xml:space="preserve">un </w:t>
      </w:r>
      <w:r>
        <w:rPr>
          <w:sz w:val="24"/>
        </w:rPr>
        <w:t xml:space="preserve">neumólogo </w:t>
      </w:r>
      <w:r>
        <w:rPr>
          <w:sz w:val="24"/>
        </w:rPr>
        <w:t xml:space="preserve">(Dr. </w:t>
      </w:r>
      <w:r>
        <w:rPr>
          <w:sz w:val="24"/>
        </w:rPr>
        <w:t xml:space="preserve">Michael </w:t>
      </w:r>
      <w:r>
        <w:rPr>
          <w:sz w:val="24"/>
        </w:rPr>
        <w:t xml:space="preserve">Palmer, Prof. </w:t>
      </w:r>
      <w:r>
        <w:rPr>
          <w:sz w:val="24"/>
        </w:rPr>
        <w:t xml:space="preserve">Dr.med. </w:t>
      </w:r>
      <w:r>
        <w:rPr>
          <w:sz w:val="24"/>
        </w:rPr>
        <w:t xml:space="preserve">Sucharit </w:t>
      </w:r>
      <w:r>
        <w:rPr>
          <w:sz w:val="24"/>
        </w:rPr>
        <w:t xml:space="preserve">Bhakdi </w:t>
      </w:r>
      <w:r>
        <w:rPr>
          <w:sz w:val="24"/>
        </w:rPr>
        <w:t xml:space="preserve">y </w:t>
      </w:r>
      <w:r>
        <w:rPr>
          <w:sz w:val="24"/>
        </w:rPr>
        <w:t xml:space="preserve">Dr.med. </w:t>
      </w:r>
      <w:r>
        <w:rPr>
          <w:sz w:val="24"/>
        </w:rPr>
        <w:t xml:space="preserve">Wolfgang </w:t>
      </w:r>
      <w:r>
        <w:rPr>
          <w:sz w:val="24"/>
        </w:rPr>
        <w:t xml:space="preserve">Wodarg; </w:t>
      </w:r>
      <w:r>
        <w:rPr>
          <w:sz w:val="24"/>
        </w:rPr>
        <w:t xml:space="preserve">anexo </w:t>
      </w:r>
      <w:r>
        <w:rPr>
          <w:sz w:val="24"/>
        </w:rPr>
        <w:t xml:space="preserve">3), </w:t>
      </w:r>
      <w:r>
        <w:rPr>
          <w:sz w:val="24"/>
        </w:rPr>
        <w:t xml:space="preserve">muestra que la </w:t>
      </w:r>
      <w:r>
        <w:rPr>
          <w:b/>
          <w:sz w:val="24"/>
        </w:rPr>
        <w:t xml:space="preserve">transcripción inversa del ARN al ADN es un mecanismo que se conoce desde hace muchas décadas. Por </w:t>
      </w:r>
      <w:r>
        <w:rPr>
          <w:b/>
          <w:sz w:val="24"/>
        </w:rPr>
        <w:t xml:space="preserve">lo tanto, nada nuevo y, sobre todo, nada que se pueda </w:t>
      </w:r>
      <w:r>
        <w:rPr>
          <w:b/>
          <w:sz w:val="24"/>
        </w:rPr>
        <w:t xml:space="preserve">descartar. Al contrario. El riesgo de transcripción inversa, por supuesto, aumenta con cada inoculación adicional.</w:t>
      </w:r>
    </w:p>
    <w:p>
      <w:pPr>
        <w:pStyle w:val="ListParagraph"/>
        <w:numPr>
          <w:ilvl w:val="0"/>
          <w:numId w:val="5"/>
        </w:numPr>
        <w:tabs>
          <w:tab w:val="left" w:leader="none" w:pos="822"/>
        </w:tabs>
        <w:spacing w:before="170" w:after="0" w:line="256" w:lineRule="auto"/>
        <w:ind w:start="821" w:end="128" w:hanging="360"/>
        <w:jc w:val="both"/>
        <w:rPr>
          <w:b/>
          <w:sz w:val="24"/>
        </w:rPr>
      </w:pPr>
      <w:r>
        <w:rPr>
          <w:b/>
          <w:sz w:val="24"/>
        </w:rPr>
        <w:t xml:space="preserve">En su respectiva determinación de ampliar la aplicación de estas dos </w:t>
      </w:r>
      <w:r>
        <w:rPr>
          <w:b/>
          <w:sz w:val="24"/>
        </w:rPr>
        <w:t xml:space="preserve">sustancias </w:t>
      </w:r>
      <w:r>
        <w:rPr>
          <w:b/>
          <w:sz w:val="24"/>
        </w:rPr>
        <w:t xml:space="preserve">en investigación </w:t>
      </w:r>
      <w:r>
        <w:rPr>
          <w:b/>
          <w:sz w:val="24"/>
        </w:rPr>
        <w:t xml:space="preserve">también </w:t>
      </w:r>
      <w:r>
        <w:rPr>
          <w:b/>
          <w:sz w:val="24"/>
        </w:rPr>
        <w:t xml:space="preserve">a </w:t>
      </w:r>
      <w:r>
        <w:rPr>
          <w:b/>
          <w:sz w:val="24"/>
        </w:rPr>
        <w:t xml:space="preserve">los menores </w:t>
      </w:r>
      <w:r>
        <w:rPr>
          <w:b/>
          <w:sz w:val="24"/>
        </w:rPr>
        <w:t xml:space="preserve">de </w:t>
      </w:r>
      <w:r>
        <w:rPr>
          <w:b/>
          <w:sz w:val="24"/>
        </w:rPr>
        <w:t xml:space="preserve">5 </w:t>
      </w:r>
      <w:r>
        <w:rPr>
          <w:b/>
          <w:sz w:val="24"/>
        </w:rPr>
        <w:t xml:space="preserve">años </w:t>
      </w:r>
      <w:r>
        <w:rPr>
          <w:b/>
          <w:sz w:val="24"/>
        </w:rPr>
        <w:t xml:space="preserve">o </w:t>
      </w:r>
      <w:r>
        <w:rPr>
          <w:b/>
          <w:sz w:val="24"/>
        </w:rPr>
        <w:t xml:space="preserve">más </w:t>
      </w:r>
      <w:r>
        <w:rPr>
          <w:b/>
          <w:sz w:val="24"/>
        </w:rPr>
        <w:t xml:space="preserve">(para </w:t>
      </w:r>
      <w:r>
        <w:rPr>
          <w:b/>
          <w:sz w:val="24"/>
        </w:rPr>
        <w:t xml:space="preserve">Comirnaty </w:t>
      </w:r>
      <w:r>
        <w:rPr>
          <w:b/>
          <w:sz w:val="24"/>
        </w:rPr>
        <w:t xml:space="preserve">de </w:t>
      </w:r>
      <w:r>
        <w:rPr>
          <w:b/>
          <w:sz w:val="24"/>
        </w:rPr>
        <w:t xml:space="preserve">Pfizer/BioNTech</w:t>
      </w:r>
      <w:r>
        <w:rPr>
          <w:b/>
          <w:sz w:val="24"/>
        </w:rPr>
        <w:t xml:space="preserve">) y de 6 años o más (para </w:t>
      </w:r>
      <w:r>
        <w:rPr>
          <w:b/>
          <w:sz w:val="24"/>
        </w:rPr>
        <w:t xml:space="preserve">Spikevax de Moderna</w:t>
      </w:r>
      <w:r>
        <w:rPr>
          <w:b/>
          <w:sz w:val="24"/>
        </w:rPr>
        <w:t xml:space="preserve">) respectivamente, la AIFA se remite expresamente al Reglamento (CE) nº 1394/2007 sobre </w:t>
      </w:r>
      <w:r>
        <w:rPr>
          <w:b/>
          <w:sz w:val="24"/>
        </w:rPr>
        <w:t xml:space="preserve">medicamentos de </w:t>
      </w:r>
      <w:r>
        <w:rPr>
          <w:b/>
          <w:sz w:val="24"/>
        </w:rPr>
        <w:t xml:space="preserve">terapia avanzada</w:t>
      </w:r>
      <w:r>
        <w:rPr>
          <w:b/>
          <w:sz w:val="24"/>
        </w:rPr>
        <w:t xml:space="preserve">, </w:t>
      </w:r>
      <w:r>
        <w:rPr>
          <w:b/>
          <w:sz w:val="24"/>
        </w:rPr>
        <w:t xml:space="preserve">así </w:t>
      </w:r>
      <w:r>
        <w:rPr>
          <w:b/>
          <w:sz w:val="24"/>
        </w:rPr>
        <w:t xml:space="preserve">como </w:t>
      </w:r>
      <w:r>
        <w:rPr>
          <w:b/>
          <w:sz w:val="24"/>
        </w:rPr>
        <w:t xml:space="preserve">al </w:t>
      </w:r>
      <w:r>
        <w:rPr>
          <w:b/>
          <w:sz w:val="24"/>
        </w:rPr>
        <w:t xml:space="preserve">dictamen </w:t>
      </w:r>
      <w:r>
        <w:rPr>
          <w:b/>
          <w:sz w:val="24"/>
        </w:rPr>
        <w:t xml:space="preserve">favorable </w:t>
      </w:r>
      <w:r>
        <w:rPr>
          <w:b/>
          <w:sz w:val="24"/>
        </w:rPr>
        <w:t xml:space="preserve">del Comité Técnico y Científico emitido en su reunión extraordinaria de 31 de mayo de </w:t>
      </w:r>
      <w:r>
        <w:rPr>
          <w:b/>
          <w:sz w:val="24"/>
        </w:rPr>
        <w:t xml:space="preserve">2021 </w:t>
      </w:r>
      <w:r>
        <w:rPr>
          <w:b/>
          <w:sz w:val="24"/>
        </w:rPr>
        <w:t xml:space="preserve">(para </w:t>
      </w:r>
      <w:r>
        <w:rPr>
          <w:b/>
          <w:sz w:val="24"/>
        </w:rPr>
        <w:t xml:space="preserve">Comirnaty de </w:t>
      </w:r>
      <w:r>
        <w:rPr>
          <w:b/>
          <w:sz w:val="24"/>
        </w:rPr>
        <w:t xml:space="preserve">Pfizer/BioNTech) </w:t>
      </w:r>
      <w:r>
        <w:rPr>
          <w:b/>
          <w:sz w:val="24"/>
        </w:rPr>
        <w:t xml:space="preserve">y </w:t>
      </w:r>
      <w:r>
        <w:rPr>
          <w:b/>
          <w:sz w:val="24"/>
        </w:rPr>
        <w:t xml:space="preserve">de </w:t>
      </w:r>
      <w:r>
        <w:rPr>
          <w:b/>
          <w:sz w:val="24"/>
        </w:rPr>
        <w:t xml:space="preserve">26 </w:t>
      </w:r>
      <w:r>
        <w:rPr>
          <w:b/>
          <w:sz w:val="24"/>
        </w:rPr>
        <w:t xml:space="preserve">de julio </w:t>
      </w:r>
      <w:r>
        <w:rPr>
          <w:b/>
          <w:sz w:val="24"/>
        </w:rPr>
        <w:t xml:space="preserve">de 2021 </w:t>
      </w:r>
      <w:r>
        <w:rPr>
          <w:b/>
          <w:sz w:val="24"/>
        </w:rPr>
        <w:t xml:space="preserve">(para </w:t>
      </w:r>
      <w:r>
        <w:rPr>
          <w:b/>
          <w:sz w:val="24"/>
        </w:rPr>
        <w:t xml:space="preserve">Spikevax de Moderna).</w:t>
      </w:r>
    </w:p>
    <w:p>
      <w:pPr>
        <w:pStyle w:val="ListParagraph"/>
        <w:numPr>
          <w:ilvl w:val="0"/>
          <w:numId w:val="5"/>
        </w:numPr>
        <w:tabs>
          <w:tab w:val="left" w:leader="none" w:pos="822"/>
        </w:tabs>
        <w:spacing w:before="159" w:after="0" w:line="254" w:lineRule="auto"/>
        <w:ind w:start="821" w:end="127" w:hanging="360"/>
        <w:jc w:val="both"/>
        <w:rPr>
          <w:sz w:val="24"/>
        </w:rPr>
      </w:pPr>
      <w:r>
        <w:rPr>
          <w:sz w:val="24"/>
        </w:rPr>
        <w:t xml:space="preserve">Las dos sustancias de ARNm Comirnaty y Spikevax han sido formalmente "categorizadas" como "vacunas", a pesar de que, como demuestran los hechos, no cumplen la función de una vacuna. Y, evidentemente, son sustancias que, basándose en un </w:t>
      </w:r>
      <w:r>
        <w:rPr>
          <w:b/>
          <w:sz w:val="24"/>
        </w:rPr>
        <w:t xml:space="preserve">etiquetado de mera conveniencia, han sido formalmente categorizadas como "vacunas"</w:t>
      </w:r>
      <w:r>
        <w:rPr>
          <w:sz w:val="24"/>
        </w:rPr>
        <w:t xml:space="preserve">, independientemente de su naturaleza real, sin cumplir dicha función.</w:t>
      </w:r>
    </w:p>
    <w:p>
      <w:pPr>
        <w:pStyle w:val="ListParagraph"/>
        <w:numPr>
          <w:ilvl w:val="0"/>
          <w:numId w:val="5"/>
        </w:numPr>
        <w:tabs>
          <w:tab w:val="left" w:leader="none" w:pos="822"/>
        </w:tabs>
        <w:spacing w:before="167" w:after="0" w:line="249" w:lineRule="auto"/>
        <w:ind w:start="821" w:end="129" w:hanging="360"/>
        <w:jc w:val="both"/>
        <w:rPr>
          <w:sz w:val="24"/>
        </w:rPr>
      </w:pPr>
      <w:r>
        <w:rPr>
          <w:sz w:val="24"/>
        </w:rPr>
        <w:t xml:space="preserve">Aparte del evidente etiquetado erróneo, </w:t>
      </w:r>
      <w:r>
        <w:rPr>
          <w:b/>
          <w:sz w:val="24"/>
        </w:rPr>
        <w:t xml:space="preserve">estas dos sustancias deberían, en cualquier caso, haber sido sometidas a pruebas de genotoxicidad, carcinogenicidad y mutagenicidad</w:t>
      </w:r>
      <w:r>
        <w:rPr>
          <w:sz w:val="24"/>
        </w:rPr>
        <w:t xml:space="preserve">, por las siguientes razones.</w:t>
      </w:r>
    </w:p>
    <w:p>
      <w:pPr>
        <w:pStyle w:val="ListParagraph"/>
        <w:numPr>
          <w:ilvl w:val="0"/>
          <w:numId w:val="5"/>
        </w:numPr>
        <w:tabs>
          <w:tab w:val="left" w:leader="none" w:pos="822"/>
        </w:tabs>
        <w:spacing w:before="171" w:after="0" w:line="256" w:lineRule="auto"/>
        <w:ind w:start="821" w:end="125" w:hanging="360"/>
        <w:jc w:val="both"/>
        <w:rPr>
          <w:sz w:val="24"/>
        </w:rPr>
      </w:pPr>
      <w:r>
        <w:rPr>
          <w:sz w:val="24"/>
        </w:rPr>
        <w:t xml:space="preserve">Aunque las "vacunas contra enfermedades infecciosas" han sido excluidas de la definición </w:t>
      </w:r>
      <w:r>
        <w:rPr>
          <w:sz w:val="24"/>
        </w:rPr>
        <w:t xml:space="preserve">de </w:t>
      </w:r>
      <w:r>
        <w:rPr>
          <w:sz w:val="24"/>
        </w:rPr>
        <w:t xml:space="preserve">"</w:t>
      </w:r>
      <w:r>
        <w:rPr>
          <w:sz w:val="24"/>
        </w:rPr>
        <w:t xml:space="preserve">medicamentos de </w:t>
      </w:r>
      <w:r>
        <w:rPr>
          <w:sz w:val="24"/>
        </w:rPr>
        <w:t xml:space="preserve">terapia </w:t>
      </w:r>
      <w:r>
        <w:rPr>
          <w:sz w:val="24"/>
        </w:rPr>
        <w:t xml:space="preserve">génica</w:t>
      </w:r>
      <w:r>
        <w:rPr>
          <w:sz w:val="24"/>
        </w:rPr>
        <w:t xml:space="preserve">", </w:t>
      </w:r>
      <w:r>
        <w:rPr>
          <w:sz w:val="24"/>
        </w:rPr>
        <w:t xml:space="preserve">teniendo en </w:t>
      </w:r>
      <w:r>
        <w:rPr>
          <w:sz w:val="24"/>
        </w:rPr>
        <w:t xml:space="preserve">cuenta </w:t>
      </w:r>
      <w:r>
        <w:rPr>
          <w:sz w:val="24"/>
        </w:rPr>
        <w:t xml:space="preserve">la </w:t>
      </w:r>
      <w:r>
        <w:rPr>
          <w:sz w:val="24"/>
        </w:rPr>
        <w:t xml:space="preserve">verdadera </w:t>
      </w:r>
      <w:r>
        <w:rPr>
          <w:sz w:val="24"/>
        </w:rPr>
        <w:t xml:space="preserve">naturaleza </w:t>
      </w:r>
      <w:r>
        <w:rPr>
          <w:sz w:val="24"/>
        </w:rPr>
        <w:t xml:space="preserve">y función </w:t>
      </w:r>
      <w:r>
        <w:rPr>
          <w:sz w:val="24"/>
        </w:rPr>
        <w:t xml:space="preserve">de </w:t>
      </w:r>
      <w:r>
        <w:rPr>
          <w:sz w:val="24"/>
        </w:rPr>
        <w:t xml:space="preserve">las </w:t>
      </w:r>
      <w:r>
        <w:rPr>
          <w:sz w:val="24"/>
        </w:rPr>
        <w:t xml:space="preserve">dos </w:t>
      </w:r>
      <w:r>
        <w:rPr>
          <w:sz w:val="24"/>
        </w:rPr>
        <w:t xml:space="preserve">sustancias </w:t>
      </w:r>
      <w:r>
        <w:rPr>
          <w:sz w:val="24"/>
        </w:rPr>
        <w:t xml:space="preserve">Comirnaty </w:t>
      </w:r>
      <w:r>
        <w:rPr>
          <w:sz w:val="24"/>
        </w:rPr>
        <w:t xml:space="preserve">y </w:t>
      </w:r>
      <w:r>
        <w:rPr>
          <w:sz w:val="24"/>
        </w:rPr>
        <w:t xml:space="preserve">Spikevax </w:t>
      </w:r>
      <w:r>
        <w:rPr>
          <w:sz w:val="24"/>
        </w:rPr>
        <w:t xml:space="preserve">(que, </w:t>
      </w:r>
      <w:r>
        <w:rPr>
          <w:sz w:val="24"/>
        </w:rPr>
        <w:t xml:space="preserve">como se </w:t>
      </w:r>
      <w:r>
        <w:rPr>
          <w:sz w:val="24"/>
        </w:rPr>
        <w:t xml:space="preserve">ha expuesto </w:t>
      </w:r>
      <w:r>
        <w:rPr>
          <w:sz w:val="24"/>
        </w:rPr>
        <w:t xml:space="preserve">y documentado aquí, pueden provocar una alteración del genoma humano</w:t>
      </w:r>
      <w:r>
        <w:rPr>
          <w:sz w:val="24"/>
        </w:rPr>
        <w:t xml:space="preserve"> con la retrotranscripción del ARNm modificado a nivel de los nucleósidos), y habiendo constatado, por tanto, el erróneo "etiquetado" de las sustancias Comirnaty y Spikevax, es absolutamente necesario tomar en consideración lo que el legislador europeo ha previsto para los medicamentos de terapia génica.</w:t>
      </w:r>
    </w:p>
    <w:p>
      <w:pPr>
        <w:pStyle w:val="ListParagraph"/>
        <w:numPr>
          <w:ilvl w:val="0"/>
          <w:numId w:val="5"/>
        </w:numPr>
        <w:tabs>
          <w:tab w:val="left" w:leader="none" w:pos="822"/>
        </w:tabs>
        <w:spacing w:before="159" w:after="0" w:line="252" w:lineRule="auto"/>
        <w:ind w:start="821" w:end="129" w:hanging="360"/>
        <w:jc w:val="both"/>
        <w:rPr>
          <w:b/>
          <w:sz w:val="24"/>
        </w:rPr>
      </w:pPr>
      <w:r>
        <w:rPr>
          <w:sz w:val="24"/>
        </w:rPr>
        <w:t xml:space="preserve">A efectos de </w:t>
      </w:r>
      <w:r>
        <w:rPr>
          <w:b/>
          <w:sz w:val="24"/>
        </w:rPr>
        <w:t xml:space="preserve">la definición de los medicamentos de terapia génica</w:t>
      </w:r>
      <w:r>
        <w:rPr>
          <w:sz w:val="24"/>
        </w:rPr>
        <w:t xml:space="preserve">, el </w:t>
      </w:r>
      <w:r>
        <w:rPr>
          <w:b/>
          <w:sz w:val="24"/>
        </w:rPr>
        <w:t xml:space="preserve">artículo 2 del Reglamento </w:t>
      </w:r>
      <w:r>
        <w:rPr>
          <w:b/>
          <w:sz w:val="24"/>
        </w:rPr>
        <w:t xml:space="preserve">(CE) </w:t>
      </w:r>
      <w:r>
        <w:rPr>
          <w:b/>
          <w:sz w:val="24"/>
        </w:rPr>
        <w:t xml:space="preserve">nº </w:t>
      </w:r>
      <w:r>
        <w:rPr>
          <w:b/>
          <w:sz w:val="24"/>
        </w:rPr>
        <w:t xml:space="preserve">1394/2007 </w:t>
      </w:r>
      <w:r>
        <w:rPr>
          <w:sz w:val="24"/>
        </w:rPr>
        <w:t xml:space="preserve">remite </w:t>
      </w:r>
      <w:r>
        <w:rPr>
          <w:sz w:val="24"/>
        </w:rPr>
        <w:t xml:space="preserve">a la </w:t>
      </w:r>
      <w:r>
        <w:rPr>
          <w:b/>
          <w:sz w:val="24"/>
        </w:rPr>
        <w:t xml:space="preserve">parte </w:t>
      </w:r>
      <w:r>
        <w:rPr>
          <w:b/>
          <w:sz w:val="24"/>
        </w:rPr>
        <w:t xml:space="preserve">IV </w:t>
      </w:r>
      <w:r>
        <w:rPr>
          <w:b/>
          <w:sz w:val="24"/>
        </w:rPr>
        <w:t xml:space="preserve">del </w:t>
      </w:r>
      <w:r>
        <w:rPr>
          <w:b/>
          <w:sz w:val="24"/>
        </w:rPr>
        <w:t xml:space="preserve">anexo </w:t>
      </w:r>
      <w:r>
        <w:rPr>
          <w:b/>
          <w:sz w:val="24"/>
        </w:rPr>
        <w:t xml:space="preserve">I </w:t>
      </w:r>
      <w:r>
        <w:rPr>
          <w:b/>
          <w:sz w:val="24"/>
        </w:rPr>
        <w:t xml:space="preserve">de </w:t>
      </w:r>
      <w:r>
        <w:rPr>
          <w:b/>
          <w:sz w:val="24"/>
        </w:rPr>
        <w:t xml:space="preserve">la Directiva </w:t>
      </w:r>
      <w:r>
        <w:rPr>
          <w:b/>
          <w:sz w:val="24"/>
        </w:rPr>
        <w:t xml:space="preserve">2001/83/CE </w:t>
      </w:r>
      <w:r>
        <w:rPr>
          <w:b/>
          <w:sz w:val="24"/>
        </w:rPr>
        <w:t xml:space="preserve">del </w:t>
      </w:r>
      <w:r>
        <w:rPr>
          <w:b/>
          <w:sz w:val="24"/>
        </w:rPr>
        <w:t xml:space="preserve">Parlamento </w:t>
      </w:r>
      <w:r>
        <w:rPr>
          <w:b/>
          <w:sz w:val="24"/>
        </w:rPr>
        <w:t xml:space="preserve">Europeo </w:t>
      </w:r>
      <w:r>
        <w:rPr>
          <w:b/>
          <w:sz w:val="24"/>
        </w:rPr>
        <w:t xml:space="preserve">y </w:t>
      </w:r>
      <w:r>
        <w:rPr>
          <w:b/>
          <w:sz w:val="24"/>
        </w:rPr>
        <w:t xml:space="preserve">del </w:t>
      </w:r>
      <w:r>
        <w:rPr>
          <w:b/>
          <w:sz w:val="24"/>
        </w:rPr>
        <w:t xml:space="preserve">Consejo </w:t>
      </w:r>
      <w:r>
        <w:rPr>
          <w:b/>
          <w:sz w:val="24"/>
        </w:rPr>
        <w:t xml:space="preserve">por </w:t>
      </w:r>
      <w:r>
        <w:rPr>
          <w:b/>
          <w:sz w:val="24"/>
        </w:rPr>
        <w:t xml:space="preserve">la que se establece </w:t>
      </w:r>
      <w:r>
        <w:rPr>
          <w:b/>
          <w:sz w:val="24"/>
        </w:rPr>
        <w:t xml:space="preserve">un código </w:t>
      </w:r>
      <w:r>
        <w:rPr>
          <w:b/>
          <w:sz w:val="24"/>
        </w:rPr>
        <w:t xml:space="preserve">comunitario </w:t>
      </w:r>
      <w:r>
        <w:rPr>
          <w:b/>
          <w:sz w:val="24"/>
        </w:rPr>
        <w:t xml:space="preserve">sobre medicamentos para uso humano</w:t>
      </w:r>
    </w:p>
    <w:p>
      <w:pPr>
        <w:spacing w:before="171"/>
        <w:ind w:start="833" w:end="0" w:firstLine="0"/>
        <w:jc w:val="left"/>
        <w:rPr>
          <w:sz w:val="24"/>
        </w:rPr>
      </w:pPr>
      <w:r>
        <w:rPr>
          <w:sz w:val="24"/>
        </w:rPr>
        <w:t xml:space="preserve">De conformidad </w:t>
      </w:r>
      <w:r>
        <w:rPr>
          <w:sz w:val="24"/>
        </w:rPr>
        <w:t xml:space="preserve">con el </w:t>
      </w:r>
      <w:r>
        <w:rPr>
          <w:sz w:val="24"/>
        </w:rPr>
        <w:t xml:space="preserve">punto </w:t>
      </w:r>
      <w:r>
        <w:rPr>
          <w:sz w:val="24"/>
        </w:rPr>
        <w:t xml:space="preserve">2 </w:t>
      </w:r>
      <w:r>
        <w:rPr>
          <w:sz w:val="24"/>
        </w:rPr>
        <w:t xml:space="preserve">de </w:t>
      </w:r>
      <w:r>
        <w:rPr>
          <w:sz w:val="24"/>
        </w:rPr>
        <w:t xml:space="preserve">la parte </w:t>
      </w:r>
      <w:r>
        <w:rPr>
          <w:sz w:val="24"/>
        </w:rPr>
        <w:t xml:space="preserve">IV del </w:t>
      </w:r>
      <w:r>
        <w:rPr>
          <w:sz w:val="24"/>
        </w:rPr>
        <w:t xml:space="preserve">anexo </w:t>
      </w:r>
      <w:r>
        <w:rPr>
          <w:sz w:val="24"/>
        </w:rPr>
        <w:t xml:space="preserve">I </w:t>
      </w:r>
      <w:r>
        <w:rPr>
          <w:sz w:val="24"/>
        </w:rPr>
        <w:t xml:space="preserve">de la </w:t>
      </w:r>
      <w:r>
        <w:rPr>
          <w:sz w:val="24"/>
        </w:rPr>
        <w:t xml:space="preserve">Directiva </w:t>
      </w:r>
      <w:r>
        <w:rPr>
          <w:sz w:val="24"/>
        </w:rPr>
        <w:t xml:space="preserve">2001/1983 </w:t>
      </w:r>
      <w:r>
        <w:rPr>
          <w:sz w:val="24"/>
        </w:rPr>
        <w:t xml:space="preserve">(definiciones </w:t>
      </w:r>
      <w:r>
        <w:rPr>
          <w:spacing w:val="-4"/>
          <w:sz w:val="24"/>
        </w:rPr>
        <w:t xml:space="preserve">2.1)</w:t>
      </w:r>
    </w:p>
    <w:p>
      <w:pPr>
        <w:spacing w:before="183" w:line="259" w:lineRule="auto"/>
        <w:ind w:start="833" w:end="50" w:firstLine="0"/>
        <w:jc w:val="left"/>
        <w:rPr>
          <w:i/>
          <w:sz w:val="24"/>
        </w:rPr>
      </w:pPr>
      <w:r>
        <w:rPr>
          <w:i/>
          <w:sz w:val="24"/>
        </w:rPr>
        <w:t xml:space="preserve">"Medicamento de </w:t>
      </w:r>
      <w:r>
        <w:rPr>
          <w:i/>
          <w:sz w:val="24"/>
        </w:rPr>
        <w:t xml:space="preserve">terapia </w:t>
      </w:r>
      <w:r>
        <w:rPr>
          <w:i/>
          <w:sz w:val="24"/>
        </w:rPr>
        <w:t xml:space="preserve">génica" </w:t>
      </w:r>
      <w:r>
        <w:rPr>
          <w:i/>
          <w:sz w:val="24"/>
        </w:rPr>
        <w:t xml:space="preserve">es </w:t>
      </w:r>
      <w:r>
        <w:rPr>
          <w:i/>
          <w:sz w:val="24"/>
        </w:rPr>
        <w:t xml:space="preserve">un </w:t>
      </w:r>
      <w:r>
        <w:rPr>
          <w:i/>
          <w:sz w:val="24"/>
        </w:rPr>
        <w:t xml:space="preserve">medicamento </w:t>
      </w:r>
      <w:r>
        <w:rPr>
          <w:i/>
          <w:sz w:val="24"/>
        </w:rPr>
        <w:t xml:space="preserve">biológico </w:t>
      </w:r>
      <w:r>
        <w:rPr>
          <w:i/>
          <w:sz w:val="24"/>
        </w:rPr>
        <w:t xml:space="preserve">que </w:t>
      </w:r>
      <w:r>
        <w:rPr>
          <w:i/>
          <w:sz w:val="24"/>
        </w:rPr>
        <w:t xml:space="preserve">tiene </w:t>
      </w:r>
      <w:r>
        <w:rPr>
          <w:i/>
          <w:sz w:val="24"/>
        </w:rPr>
        <w:t xml:space="preserve">las siguientes características</w:t>
      </w:r>
    </w:p>
    <w:p>
      <w:pPr>
        <w:spacing w:after="0" w:line="259" w:lineRule="auto"/>
        <w:jc w:val="left"/>
        <w:rPr>
          <w:sz w:val="24"/>
        </w:rPr>
        <w:sectPr>
          <w:pgSz w:w="11900" w:h="16850"/>
          <w:pgMar w:top="1340" w:right="1000" w:bottom="800" w:left="1020" w:header="0" w:footer="605"/>
        </w:sectPr>
      </w:pPr>
    </w:p>
    <w:p>
      <w:pPr>
        <w:pStyle w:val="ListParagraph"/>
        <w:numPr>
          <w:ilvl w:val="0"/>
          <w:numId w:val="6"/>
        </w:numPr>
        <w:tabs>
          <w:tab w:val="left" w:leader="none" w:pos="1194"/>
        </w:tabs>
        <w:spacing w:before="78" w:after="0" w:line="256" w:lineRule="auto"/>
        <w:ind w:start="1193" w:end="128" w:hanging="360"/>
        <w:jc w:val="both"/>
        <w:rPr>
          <w:rFonts w:ascii="Arial-BoldItalicMT"/>
          <w:b/>
          <w:i/>
          <w:sz w:val="24"/>
        </w:rPr>
      </w:pPr>
      <w:r>
        <w:rPr>
          <w:i/>
          <w:sz w:val="24"/>
        </w:rPr>
        <w:t xml:space="preserve">contiene </w:t>
      </w:r>
      <w:r>
        <w:rPr>
          <w:i/>
          <w:sz w:val="24"/>
        </w:rPr>
        <w:t xml:space="preserve">una </w:t>
      </w:r>
      <w:r>
        <w:rPr>
          <w:i/>
          <w:sz w:val="24"/>
        </w:rPr>
        <w:t xml:space="preserve">sustancia </w:t>
      </w:r>
      <w:r>
        <w:rPr>
          <w:i/>
          <w:sz w:val="24"/>
        </w:rPr>
        <w:t xml:space="preserve">activa </w:t>
      </w:r>
      <w:r>
        <w:rPr>
          <w:i/>
          <w:sz w:val="24"/>
        </w:rPr>
        <w:t xml:space="preserve">que </w:t>
      </w:r>
      <w:r>
        <w:rPr>
          <w:i/>
          <w:sz w:val="24"/>
        </w:rPr>
        <w:t xml:space="preserve">contiene </w:t>
      </w:r>
      <w:r>
        <w:rPr>
          <w:i/>
          <w:sz w:val="24"/>
        </w:rPr>
        <w:t xml:space="preserve">o </w:t>
      </w:r>
      <w:r>
        <w:rPr>
          <w:i/>
          <w:sz w:val="24"/>
        </w:rPr>
        <w:t xml:space="preserve">consiste en </w:t>
      </w:r>
      <w:r>
        <w:rPr>
          <w:i/>
          <w:sz w:val="24"/>
        </w:rPr>
        <w:t xml:space="preserve">un </w:t>
      </w:r>
      <w:r>
        <w:rPr>
          <w:rFonts w:ascii="Arial-BoldItalicMT"/>
          <w:b/>
          <w:i/>
          <w:sz w:val="24"/>
        </w:rPr>
        <w:t xml:space="preserve">ácido </w:t>
      </w:r>
      <w:r>
        <w:rPr>
          <w:rFonts w:ascii="Arial-BoldItalicMT"/>
          <w:b/>
          <w:i/>
          <w:sz w:val="24"/>
        </w:rPr>
        <w:t xml:space="preserve">nucleico recombinante </w:t>
      </w:r>
      <w:r>
        <w:rPr>
          <w:rFonts w:ascii="Arial-BoldItalicMT"/>
          <w:b/>
          <w:i/>
          <w:sz w:val="24"/>
        </w:rPr>
        <w:t xml:space="preserve">utilizado </w:t>
      </w:r>
      <w:r>
        <w:rPr>
          <w:rFonts w:ascii="Arial-BoldItalicMT"/>
          <w:b/>
          <w:i/>
          <w:sz w:val="24"/>
        </w:rPr>
        <w:t xml:space="preserve">en </w:t>
      </w:r>
      <w:r>
        <w:rPr>
          <w:rFonts w:ascii="Arial-BoldItalicMT"/>
          <w:b/>
          <w:i/>
          <w:sz w:val="24"/>
        </w:rPr>
        <w:t xml:space="preserve">seres humanos </w:t>
      </w:r>
      <w:r>
        <w:rPr>
          <w:rFonts w:ascii="Arial-BoldItalicMT"/>
          <w:b/>
          <w:i/>
          <w:sz w:val="24"/>
        </w:rPr>
        <w:t xml:space="preserve">o </w:t>
      </w:r>
      <w:r>
        <w:rPr>
          <w:rFonts w:ascii="Arial-BoldItalicMT"/>
          <w:b/>
          <w:i/>
          <w:sz w:val="24"/>
        </w:rPr>
        <w:t xml:space="preserve">administrado </w:t>
      </w:r>
      <w:r>
        <w:rPr>
          <w:rFonts w:ascii="Arial-BoldItalicMT"/>
          <w:b/>
          <w:i/>
          <w:sz w:val="24"/>
        </w:rPr>
        <w:t xml:space="preserve">a </w:t>
      </w:r>
      <w:r>
        <w:rPr>
          <w:rFonts w:ascii="Arial-BoldItalicMT"/>
          <w:b/>
          <w:i/>
          <w:sz w:val="24"/>
        </w:rPr>
        <w:t xml:space="preserve">éstos con el </w:t>
      </w:r>
      <w:r>
        <w:rPr>
          <w:rFonts w:ascii="Arial-BoldItalicMT"/>
          <w:b/>
          <w:i/>
          <w:sz w:val="24"/>
        </w:rPr>
        <w:t xml:space="preserve">fin </w:t>
      </w:r>
      <w:r>
        <w:rPr>
          <w:rFonts w:ascii="Arial-BoldItalicMT"/>
          <w:b/>
          <w:i/>
          <w:sz w:val="24"/>
        </w:rPr>
        <w:t xml:space="preserve">de </w:t>
      </w:r>
      <w:r>
        <w:rPr>
          <w:rFonts w:ascii="Arial-BoldItalicMT"/>
          <w:b/>
          <w:i/>
          <w:sz w:val="24"/>
        </w:rPr>
        <w:t xml:space="preserve">regular, </w:t>
      </w:r>
      <w:r>
        <w:rPr>
          <w:i/>
          <w:sz w:val="24"/>
        </w:rPr>
        <w:t xml:space="preserve">reparar, sustituir, </w:t>
      </w:r>
      <w:r>
        <w:rPr>
          <w:rFonts w:ascii="Arial-BoldItalicMT"/>
          <w:b/>
          <w:i/>
          <w:sz w:val="24"/>
        </w:rPr>
        <w:t xml:space="preserve">añadir </w:t>
      </w:r>
      <w:r>
        <w:rPr>
          <w:i/>
          <w:sz w:val="24"/>
        </w:rPr>
        <w:t xml:space="preserve">o suprimir </w:t>
      </w:r>
      <w:r>
        <w:rPr>
          <w:rFonts w:ascii="Arial-BoldItalicMT"/>
          <w:b/>
          <w:i/>
          <w:sz w:val="24"/>
        </w:rPr>
        <w:t xml:space="preserve">una secuencia genética1</w:t>
      </w:r>
      <w:r>
        <w:rPr>
          <w:rFonts w:ascii="Arial-BoldItalicMT"/>
          <w:b/>
          <w:i/>
          <w:sz w:val="24"/>
        </w:rPr>
        <w:t xml:space="preserve">;</w:t>
      </w:r>
    </w:p>
    <w:p>
      <w:pPr>
        <w:pStyle w:val="ListParagraph"/>
        <w:numPr>
          <w:ilvl w:val="0"/>
          <w:numId w:val="6"/>
        </w:numPr>
        <w:tabs>
          <w:tab w:val="left" w:leader="none" w:pos="1246"/>
        </w:tabs>
        <w:spacing w:before="163" w:after="0" w:line="259" w:lineRule="auto"/>
        <w:ind w:start="1246" w:end="128" w:hanging="413"/>
        <w:jc w:val="both"/>
        <w:rPr>
          <w:rFonts w:ascii="Arial-BoldItalicMT"/>
          <w:b/>
          <w:i/>
          <w:sz w:val="24"/>
        </w:rPr>
      </w:pPr>
      <w:r>
        <w:rPr>
          <w:rFonts w:ascii="Arial-BoldItalicMT"/>
          <w:b/>
          <w:i/>
          <w:sz w:val="24"/>
        </w:rPr>
        <w:t xml:space="preserve">su </w:t>
      </w:r>
      <w:r>
        <w:rPr>
          <w:rFonts w:ascii="Arial-BoldItalicMT"/>
          <w:b/>
          <w:i/>
          <w:sz w:val="24"/>
        </w:rPr>
        <w:t xml:space="preserve">efecto </w:t>
      </w:r>
      <w:r>
        <w:rPr>
          <w:i/>
          <w:sz w:val="24"/>
        </w:rPr>
        <w:t xml:space="preserve">terapéutico, </w:t>
      </w:r>
      <w:r>
        <w:rPr>
          <w:rFonts w:ascii="Arial-BoldItalicMT"/>
          <w:b/>
          <w:i/>
          <w:sz w:val="24"/>
        </w:rPr>
        <w:t xml:space="preserve">profiláctico </w:t>
      </w:r>
      <w:r>
        <w:rPr>
          <w:i/>
          <w:sz w:val="24"/>
        </w:rPr>
        <w:t xml:space="preserve">o de diagnóstico </w:t>
      </w:r>
      <w:r>
        <w:rPr>
          <w:rFonts w:ascii="Arial-BoldItalicMT"/>
          <w:b/>
          <w:i/>
          <w:sz w:val="24"/>
        </w:rPr>
        <w:t xml:space="preserve">está relacionado con la secuencia de ácido nucleico recombinante que contiene o con el producto de la expresión genética de esta secuencia".</w:t>
      </w:r>
    </w:p>
    <w:p>
      <w:pPr>
        <w:pStyle w:val="BodyText"/>
        <w:spacing w:before="9"/>
        <w:rPr>
          <w:sz w:val="25"/>
        </w:rPr>
      </w:pPr>
    </w:p>
    <w:p>
      <w:pPr>
        <w:pStyle w:val="ListParagraph"/>
        <w:numPr>
          <w:ilvl w:val="0"/>
          <w:numId w:val="5"/>
        </w:numPr>
        <w:tabs>
          <w:tab w:val="left" w:leader="none" w:pos="822"/>
        </w:tabs>
        <w:spacing w:before="0" w:after="0" w:line="254" w:lineRule="auto"/>
        <w:ind w:start="821" w:end="128" w:hanging="360"/>
        <w:jc w:val="both"/>
        <w:rPr>
          <w:b/>
          <w:sz w:val="24"/>
        </w:rPr>
      </w:pPr>
      <w:r>
        <w:rPr>
          <w:b/>
          <w:sz w:val="24"/>
        </w:rPr>
        <w:t xml:space="preserve">Dado </w:t>
      </w:r>
      <w:r>
        <w:rPr>
          <w:b/>
          <w:sz w:val="24"/>
        </w:rPr>
        <w:t xml:space="preserve">que </w:t>
      </w:r>
      <w:r>
        <w:rPr>
          <w:b/>
          <w:sz w:val="24"/>
        </w:rPr>
        <w:t xml:space="preserve">las </w:t>
      </w:r>
      <w:r>
        <w:rPr>
          <w:b/>
          <w:sz w:val="24"/>
        </w:rPr>
        <w:t xml:space="preserve">dos </w:t>
      </w:r>
      <w:r>
        <w:rPr>
          <w:b/>
          <w:sz w:val="24"/>
        </w:rPr>
        <w:t xml:space="preserve">sustancias </w:t>
      </w:r>
      <w:r>
        <w:rPr>
          <w:b/>
          <w:sz w:val="24"/>
        </w:rPr>
        <w:t xml:space="preserve">Comirnaty </w:t>
      </w:r>
      <w:r>
        <w:rPr>
          <w:b/>
          <w:sz w:val="24"/>
        </w:rPr>
        <w:t xml:space="preserve">de </w:t>
      </w:r>
      <w:r>
        <w:rPr>
          <w:b/>
          <w:sz w:val="24"/>
        </w:rPr>
        <w:t xml:space="preserve">Pfizer/BioNTech </w:t>
      </w:r>
      <w:r>
        <w:rPr>
          <w:b/>
          <w:sz w:val="24"/>
        </w:rPr>
        <w:t xml:space="preserve">y </w:t>
      </w:r>
      <w:r>
        <w:rPr>
          <w:b/>
          <w:sz w:val="24"/>
        </w:rPr>
        <w:t xml:space="preserve">Spikevax </w:t>
      </w:r>
      <w:r>
        <w:rPr>
          <w:b/>
          <w:sz w:val="24"/>
        </w:rPr>
        <w:t xml:space="preserve">de Moderna contienen ácido nucleico recombinante (ARN) </w:t>
      </w:r>
      <w:r>
        <w:rPr>
          <w:b/>
          <w:sz w:val="24"/>
        </w:rPr>
        <w:t xml:space="preserve">y </w:t>
      </w:r>
      <w:r>
        <w:rPr>
          <w:b/>
          <w:sz w:val="24"/>
        </w:rPr>
        <w:t xml:space="preserve">éste </w:t>
      </w:r>
      <w:r>
        <w:rPr>
          <w:b/>
          <w:sz w:val="24"/>
        </w:rPr>
        <w:t xml:space="preserve">puede </w:t>
      </w:r>
      <w:r>
        <w:rPr>
          <w:b/>
          <w:sz w:val="24"/>
        </w:rPr>
        <w:t xml:space="preserve">retranscribirse en ADN con modificación del genoma humano </w:t>
      </w:r>
      <w:r>
        <w:rPr>
          <w:sz w:val="24"/>
        </w:rPr>
        <w:t xml:space="preserve">(véase más arriba), </w:t>
      </w:r>
      <w:r>
        <w:rPr>
          <w:b/>
          <w:sz w:val="24"/>
        </w:rPr>
        <w:t xml:space="preserve">está claro que estas dos sustancias pueden desarrollar una función genética que, de hecho, entra en la definición de medicamentos de terapia génica.</w:t>
      </w:r>
    </w:p>
    <w:p>
      <w:pPr>
        <w:pStyle w:val="ListParagraph"/>
        <w:numPr>
          <w:ilvl w:val="0"/>
          <w:numId w:val="5"/>
        </w:numPr>
        <w:tabs>
          <w:tab w:val="left" w:leader="none" w:pos="822"/>
        </w:tabs>
        <w:spacing w:before="165" w:after="0" w:line="240" w:lineRule="auto"/>
        <w:ind w:start="821" w:end="129" w:hanging="360"/>
        <w:jc w:val="both"/>
        <w:rPr>
          <w:sz w:val="24"/>
        </w:rPr>
      </w:pPr>
      <w:r>
        <w:rPr>
          <w:sz w:val="24"/>
        </w:rPr>
        <w:t xml:space="preserve">Por lo </w:t>
      </w:r>
      <w:r>
        <w:rPr>
          <w:sz w:val="24"/>
        </w:rPr>
        <w:t xml:space="preserve">que respecta a </w:t>
      </w:r>
      <w:r>
        <w:rPr>
          <w:sz w:val="24"/>
        </w:rPr>
        <w:t xml:space="preserve">los </w:t>
      </w:r>
      <w:r>
        <w:rPr>
          <w:sz w:val="24"/>
        </w:rPr>
        <w:t xml:space="preserve">requisitos </w:t>
      </w:r>
      <w:r>
        <w:rPr>
          <w:sz w:val="24"/>
        </w:rPr>
        <w:t xml:space="preserve">específicos </w:t>
      </w:r>
      <w:r>
        <w:rPr>
          <w:sz w:val="24"/>
        </w:rPr>
        <w:t xml:space="preserve">de los </w:t>
      </w:r>
      <w:r>
        <w:rPr>
          <w:sz w:val="24"/>
        </w:rPr>
        <w:t xml:space="preserve">productos de </w:t>
      </w:r>
      <w:r>
        <w:rPr>
          <w:sz w:val="24"/>
        </w:rPr>
        <w:t xml:space="preserve">terapia gén</w:t>
      </w:r>
      <w:r>
        <w:rPr>
          <w:sz w:val="24"/>
        </w:rPr>
        <w:t xml:space="preserve">ica, </w:t>
      </w:r>
      <w:r>
        <w:rPr>
          <w:sz w:val="24"/>
        </w:rPr>
        <w:t xml:space="preserve">el </w:t>
      </w:r>
      <w:r>
        <w:rPr>
          <w:sz w:val="24"/>
        </w:rPr>
        <w:t xml:space="preserve">legislador de </w:t>
      </w:r>
      <w:r>
        <w:rPr>
          <w:sz w:val="24"/>
        </w:rPr>
        <w:t xml:space="preserve">la UE </w:t>
      </w:r>
      <w:r>
        <w:rPr>
          <w:sz w:val="24"/>
        </w:rPr>
        <w:t xml:space="preserve">también establece en el anexo I, parte IV, de la Directiva 2001/83 que</w:t>
      </w:r>
    </w:p>
    <w:p>
      <w:pPr>
        <w:pStyle w:val="BodyText"/>
        <w:spacing w:before="183" w:line="259" w:lineRule="auto"/>
        <w:ind w:start="833" w:end="50"/>
      </w:pPr>
      <w:r>
        <w:rPr/>
        <w:t xml:space="preserve">"4.2.1.... la duración de la función de la secuencia del ácido nucleico y el régimen de dosificación propuesto en los estudios clínicos se proporcionará</w:t>
      </w:r>
    </w:p>
    <w:p>
      <w:pPr>
        <w:pStyle w:val="BodyText"/>
        <w:spacing w:before="160"/>
        <w:ind w:start="833"/>
      </w:pPr>
      <w:r>
        <w:rPr/>
        <w:t xml:space="preserve">4.2.2. </w:t>
      </w:r>
      <w:r>
        <w:rPr>
          <w:spacing w:val="-2"/>
        </w:rPr>
        <w:t xml:space="preserve">Farmoquinética:</w:t>
      </w:r>
    </w:p>
    <w:p>
      <w:pPr>
        <w:pStyle w:val="ListParagraph"/>
        <w:numPr>
          <w:ilvl w:val="0"/>
          <w:numId w:val="7"/>
        </w:numPr>
        <w:tabs>
          <w:tab w:val="left" w:leader="none" w:pos="1107"/>
        </w:tabs>
        <w:spacing w:before="182" w:after="0" w:line="259" w:lineRule="auto"/>
        <w:ind w:start="833" w:end="130" w:firstLine="0"/>
        <w:jc w:val="both"/>
        <w:rPr>
          <w:rFonts w:ascii="Arial-BoldItalicMT"/>
          <w:b/>
          <w:i/>
          <w:sz w:val="24"/>
        </w:rPr>
      </w:pPr>
      <w:r>
        <w:rPr>
          <w:rFonts w:ascii="Arial-BoldItalicMT"/>
          <w:b/>
          <w:i/>
          <w:sz w:val="24"/>
        </w:rPr>
        <w:t xml:space="preserve">Los </w:t>
      </w:r>
      <w:r>
        <w:rPr>
          <w:rFonts w:ascii="Arial-BoldItalicMT"/>
          <w:b/>
          <w:i/>
          <w:sz w:val="24"/>
        </w:rPr>
        <w:t xml:space="preserve">estudios de </w:t>
      </w:r>
      <w:r>
        <w:rPr>
          <w:rFonts w:ascii="Arial-BoldItalicMT"/>
          <w:b/>
          <w:i/>
          <w:sz w:val="24"/>
        </w:rPr>
        <w:t xml:space="preserve">biodistribución </w:t>
      </w:r>
      <w:r>
        <w:rPr>
          <w:rFonts w:ascii="Arial-BoldItalicMT"/>
          <w:b/>
          <w:i/>
          <w:sz w:val="24"/>
        </w:rPr>
        <w:t xml:space="preserve">incluirán la </w:t>
      </w:r>
      <w:r>
        <w:rPr>
          <w:rFonts w:ascii="Arial-BoldItalicMT"/>
          <w:b/>
          <w:i/>
          <w:sz w:val="24"/>
        </w:rPr>
        <w:t xml:space="preserve">investigación </w:t>
      </w:r>
      <w:r>
        <w:rPr>
          <w:rFonts w:ascii="Arial-BoldItalicMT"/>
          <w:b/>
          <w:i/>
          <w:sz w:val="24"/>
        </w:rPr>
        <w:t xml:space="preserve">sobre la </w:t>
      </w:r>
      <w:r>
        <w:rPr>
          <w:rFonts w:ascii="Arial-BoldItalicMT"/>
          <w:b/>
          <w:i/>
          <w:sz w:val="24"/>
        </w:rPr>
        <w:t xml:space="preserve">persistencia, la </w:t>
      </w:r>
      <w:r>
        <w:rPr>
          <w:rFonts w:ascii="Arial-BoldItalicMT"/>
          <w:b/>
          <w:i/>
          <w:sz w:val="24"/>
        </w:rPr>
        <w:t xml:space="preserve">eliminación y la movilización. Los estudios de biodistribución abordarán además el riesgo de transmisión por la línea germinal.</w:t>
      </w:r>
    </w:p>
    <w:p>
      <w:pPr>
        <w:pStyle w:val="ListParagraph"/>
        <w:numPr>
          <w:ilvl w:val="0"/>
          <w:numId w:val="7"/>
        </w:numPr>
        <w:tabs>
          <w:tab w:val="left" w:leader="none" w:pos="1141"/>
        </w:tabs>
        <w:spacing w:before="160" w:after="0" w:line="259" w:lineRule="auto"/>
        <w:ind w:start="833" w:end="127" w:firstLine="0"/>
        <w:jc w:val="both"/>
        <w:rPr>
          <w:rFonts w:ascii="Arial-BoldItalicMT" w:hAnsi="Arial-BoldItalicMT"/>
          <w:b/>
          <w:i/>
          <w:sz w:val="24"/>
        </w:rPr>
      </w:pPr>
      <w:r>
        <w:rPr>
          <w:rFonts w:ascii="Arial-BoldItalicMT" w:hAnsi="Arial-BoldItalicMT"/>
          <w:b/>
          <w:i/>
          <w:sz w:val="24"/>
        </w:rPr>
        <w:t xml:space="preserve">La investigación sobre el desprendimiento y el riesgo de transmisión a terceros se proporcionará con la evaluación del riesgo medioambiental...</w:t>
      </w:r>
    </w:p>
    <w:p>
      <w:pPr>
        <w:pStyle w:val="BodyText"/>
        <w:spacing w:before="160"/>
        <w:ind w:start="833"/>
      </w:pPr>
      <w:r>
        <w:rPr/>
        <w:t xml:space="preserve">4.2.3. </w:t>
      </w:r>
      <w:r>
        <w:rPr>
          <w:spacing w:val="-2"/>
        </w:rPr>
        <w:t xml:space="preserve">Toxicología</w:t>
      </w:r>
    </w:p>
    <w:p>
      <w:pPr>
        <w:pStyle w:val="BodyText"/>
        <w:spacing w:before="180"/>
        <w:ind w:start="833"/>
      </w:pPr>
      <w:r>
        <w:rPr>
          <w:spacing w:val="-2"/>
        </w:rPr>
        <w:t xml:space="preserve">(a) </w:t>
      </w:r>
      <w:r>
        <w:rPr>
          <w:spacing w:val="-2"/>
        </w:rPr>
        <w:t xml:space="preserve">La </w:t>
      </w:r>
      <w:r>
        <w:rPr>
          <w:spacing w:val="-2"/>
        </w:rPr>
        <w:t xml:space="preserve">toxicidad </w:t>
      </w:r>
      <w:r>
        <w:rPr>
          <w:spacing w:val="-2"/>
        </w:rPr>
        <w:t xml:space="preserve">del </w:t>
      </w:r>
      <w:r>
        <w:rPr>
          <w:spacing w:val="-2"/>
        </w:rPr>
        <w:t xml:space="preserve">medicamento </w:t>
      </w:r>
      <w:r>
        <w:rPr>
          <w:spacing w:val="-2"/>
        </w:rPr>
        <w:t xml:space="preserve">de terapia </w:t>
      </w:r>
      <w:r>
        <w:rPr>
          <w:spacing w:val="-2"/>
        </w:rPr>
        <w:t xml:space="preserve">génica </w:t>
      </w:r>
      <w:r>
        <w:rPr>
          <w:spacing w:val="-2"/>
        </w:rPr>
        <w:t xml:space="preserve">terminado </w:t>
      </w:r>
      <w:r>
        <w:rPr>
          <w:spacing w:val="-2"/>
        </w:rPr>
        <w:t xml:space="preserve">se </w:t>
      </w:r>
      <w:r>
        <w:rPr>
          <w:spacing w:val="-2"/>
        </w:rPr>
        <w:t xml:space="preserve">evaluará...</w:t>
      </w:r>
    </w:p>
    <w:p>
      <w:pPr>
        <w:pStyle w:val="BodyText"/>
        <w:spacing w:before="22" w:line="261" w:lineRule="auto"/>
        <w:ind w:start="833"/>
      </w:pPr>
      <w:r>
        <w:rPr/>
        <w:t xml:space="preserve">... </w:t>
      </w:r>
      <w:r>
        <w:rPr/>
        <w:t xml:space="preserve">se evaluará </w:t>
      </w:r>
      <w:r>
        <w:rPr/>
        <w:t xml:space="preserve">el </w:t>
      </w:r>
      <w:r>
        <w:rPr/>
        <w:t xml:space="preserve">efecto </w:t>
      </w:r>
      <w:r>
        <w:rPr/>
        <w:t xml:space="preserve">in </w:t>
      </w:r>
      <w:r>
        <w:rPr/>
        <w:t xml:space="preserve">vivo </w:t>
      </w:r>
      <w:r>
        <w:rPr/>
        <w:t xml:space="preserve">de los </w:t>
      </w:r>
      <w:r>
        <w:rPr/>
        <w:t xml:space="preserve">productos </w:t>
      </w:r>
      <w:r>
        <w:rPr/>
        <w:t xml:space="preserve">relacionados con la secuencia de </w:t>
      </w:r>
      <w:r>
        <w:rPr/>
        <w:t xml:space="preserve">ácidos </w:t>
      </w:r>
      <w:r>
        <w:rPr/>
        <w:t xml:space="preserve">nucleicos </w:t>
      </w:r>
      <w:r>
        <w:rPr/>
        <w:t xml:space="preserve">expresados </w:t>
      </w:r>
      <w:r>
        <w:rPr/>
        <w:t xml:space="preserve">que no están destinados a la función fisiológica...</w:t>
      </w:r>
    </w:p>
    <w:p>
      <w:pPr>
        <w:pStyle w:val="ListParagraph"/>
        <w:numPr>
          <w:ilvl w:val="0"/>
          <w:numId w:val="7"/>
        </w:numPr>
        <w:tabs>
          <w:tab w:val="left" w:leader="none" w:pos="1138"/>
        </w:tabs>
        <w:spacing w:before="154" w:after="0" w:line="259" w:lineRule="auto"/>
        <w:ind w:start="833" w:end="128" w:firstLine="0"/>
        <w:jc w:val="both"/>
        <w:rPr>
          <w:rFonts w:ascii="Arial-BoldItalicMT"/>
          <w:b/>
          <w:i/>
          <w:sz w:val="24"/>
        </w:rPr>
      </w:pPr>
      <w:r>
        <w:rPr>
          <w:rFonts w:ascii="Arial-BoldItalicMT"/>
          <w:b/>
          <w:i/>
          <w:sz w:val="24"/>
          <w:u w:val="thick"/>
        </w:rPr>
        <w:t xml:space="preserve">Se proporcionarán estudios de toxicidad de dosis repetidas cuando </w:t>
      </w:r>
      <w:r>
        <w:rPr>
          <w:rFonts w:ascii="Arial-BoldItalicMT"/>
          <w:b/>
          <w:i/>
          <w:sz w:val="24"/>
          <w:u w:val="thick"/>
        </w:rPr>
        <w:t xml:space="preserve">se </w:t>
      </w:r>
      <w:r>
        <w:rPr>
          <w:rFonts w:ascii="Arial-BoldItalicMT"/>
          <w:b/>
          <w:i/>
          <w:sz w:val="24"/>
          <w:u w:val="thick"/>
        </w:rPr>
        <w:t xml:space="preserve">prevea la </w:t>
      </w:r>
      <w:r>
        <w:rPr>
          <w:rFonts w:ascii="Arial-BoldItalicMT"/>
          <w:b/>
          <w:i/>
          <w:sz w:val="24"/>
          <w:u w:val="thick"/>
        </w:rPr>
        <w:t xml:space="preserve">administración de dosis múltiples a </w:t>
      </w:r>
      <w:r>
        <w:rPr>
          <w:rFonts w:ascii="Arial-BoldItalicMT"/>
          <w:b/>
          <w:i/>
          <w:sz w:val="24"/>
          <w:u w:val="thick"/>
        </w:rPr>
        <w:t xml:space="preserve">sujetos </w:t>
      </w:r>
      <w:r>
        <w:rPr>
          <w:rFonts w:ascii="Arial-BoldItalicMT"/>
          <w:b/>
          <w:i/>
          <w:sz w:val="24"/>
          <w:u w:val="thick"/>
        </w:rPr>
        <w:t xml:space="preserve">humanos</w:t>
      </w:r>
      <w:r>
        <w:rPr>
          <w:rFonts w:ascii="Arial-BoldItalicMT"/>
          <w:b/>
          <w:i/>
          <w:sz w:val="24"/>
        </w:rPr>
        <w:t xml:space="preserve">. </w:t>
      </w:r>
      <w:r>
        <w:rPr>
          <w:rFonts w:ascii="Arial-BoldItalicMT"/>
          <w:b/>
          <w:i/>
          <w:sz w:val="24"/>
        </w:rPr>
        <w:t xml:space="preserve">El modo y el esquema de administración deberán </w:t>
      </w:r>
      <w:r>
        <w:rPr>
          <w:rFonts w:ascii="Arial-BoldItalicMT"/>
          <w:b/>
          <w:i/>
          <w:sz w:val="24"/>
        </w:rPr>
        <w:t xml:space="preserve">reflejar </w:t>
      </w:r>
      <w:r>
        <w:rPr>
          <w:rFonts w:ascii="Arial-BoldItalicMT"/>
          <w:b/>
          <w:i/>
          <w:sz w:val="24"/>
        </w:rPr>
        <w:t xml:space="preserve">fielmente </w:t>
      </w:r>
      <w:r>
        <w:rPr>
          <w:rFonts w:ascii="Arial-BoldItalicMT"/>
          <w:b/>
          <w:i/>
          <w:sz w:val="24"/>
        </w:rPr>
        <w:t xml:space="preserve">la </w:t>
      </w:r>
      <w:r>
        <w:rPr>
          <w:rFonts w:ascii="Arial-BoldItalicMT"/>
          <w:b/>
          <w:i/>
          <w:sz w:val="24"/>
        </w:rPr>
        <w:t xml:space="preserve">dosis </w:t>
      </w:r>
      <w:r>
        <w:rPr>
          <w:rFonts w:ascii="Arial-BoldItalicMT"/>
          <w:b/>
          <w:i/>
          <w:sz w:val="24"/>
        </w:rPr>
        <w:t xml:space="preserve">clínica </w:t>
      </w:r>
      <w:r>
        <w:rPr>
          <w:rFonts w:ascii="Arial-BoldItalicMT"/>
          <w:b/>
          <w:i/>
          <w:sz w:val="24"/>
        </w:rPr>
        <w:t xml:space="preserve">prevista</w:t>
      </w:r>
      <w:r>
        <w:rPr>
          <w:rFonts w:ascii="Arial-BoldItalicMT"/>
          <w:b/>
          <w:i/>
          <w:sz w:val="24"/>
        </w:rPr>
        <w:t xml:space="preserve">. </w:t>
      </w:r>
      <w:r>
        <w:rPr>
          <w:rFonts w:ascii="Arial-BoldItalicMT"/>
          <w:b/>
          <w:i/>
          <w:sz w:val="24"/>
        </w:rPr>
        <w:t xml:space="preserve">En </w:t>
      </w:r>
      <w:r>
        <w:rPr>
          <w:rFonts w:ascii="Arial-BoldItalicMT"/>
          <w:b/>
          <w:i/>
          <w:sz w:val="24"/>
        </w:rPr>
        <w:t xml:space="preserve">los </w:t>
      </w:r>
      <w:r>
        <w:rPr>
          <w:rFonts w:ascii="Arial-BoldItalicMT"/>
          <w:b/>
          <w:i/>
          <w:sz w:val="24"/>
        </w:rPr>
        <w:t xml:space="preserve">casos </w:t>
      </w:r>
      <w:r>
        <w:rPr>
          <w:rFonts w:ascii="Arial-BoldItalicMT"/>
          <w:b/>
          <w:i/>
          <w:sz w:val="24"/>
        </w:rPr>
        <w:t xml:space="preserve">en que </w:t>
      </w:r>
      <w:r>
        <w:rPr>
          <w:rFonts w:ascii="Arial-BoldItalicMT"/>
          <w:b/>
          <w:i/>
          <w:sz w:val="24"/>
        </w:rPr>
        <w:t xml:space="preserve">una sola dosis </w:t>
      </w:r>
      <w:r>
        <w:rPr>
          <w:rFonts w:ascii="Arial-BoldItalicMT"/>
          <w:b/>
          <w:i/>
          <w:sz w:val="24"/>
        </w:rPr>
        <w:t xml:space="preserve">pueda dar lugar </w:t>
      </w:r>
      <w:r>
        <w:rPr>
          <w:rFonts w:ascii="Arial-BoldItalicMT"/>
          <w:b/>
          <w:i/>
          <w:sz w:val="24"/>
        </w:rPr>
        <w:t xml:space="preserve">a una </w:t>
      </w:r>
      <w:r>
        <w:rPr>
          <w:rFonts w:ascii="Arial-BoldItalicMT"/>
          <w:b/>
          <w:i/>
          <w:sz w:val="24"/>
        </w:rPr>
        <w:t xml:space="preserve">funcionalidad </w:t>
      </w:r>
      <w:r>
        <w:rPr>
          <w:rFonts w:ascii="Arial-BoldItalicMT"/>
          <w:b/>
          <w:i/>
          <w:sz w:val="24"/>
        </w:rPr>
        <w:t xml:space="preserve">prolongada de </w:t>
      </w:r>
      <w:r>
        <w:rPr>
          <w:rFonts w:ascii="Arial-BoldItalicMT"/>
          <w:b/>
          <w:i/>
          <w:sz w:val="24"/>
        </w:rPr>
        <w:t xml:space="preserve">la </w:t>
      </w:r>
      <w:r>
        <w:rPr>
          <w:rFonts w:ascii="Arial-BoldItalicMT"/>
          <w:b/>
          <w:i/>
          <w:sz w:val="24"/>
        </w:rPr>
        <w:t xml:space="preserve">secuencia del </w:t>
      </w:r>
      <w:r>
        <w:rPr>
          <w:rFonts w:ascii="Arial-BoldItalicMT"/>
          <w:b/>
          <w:i/>
          <w:sz w:val="24"/>
        </w:rPr>
        <w:t xml:space="preserve">ácido nucleico </w:t>
      </w:r>
      <w:r>
        <w:rPr>
          <w:rFonts w:ascii="Arial-BoldItalicMT"/>
          <w:b/>
          <w:i/>
          <w:sz w:val="24"/>
        </w:rPr>
        <w:t xml:space="preserve">en humanos</w:t>
      </w:r>
      <w:r>
        <w:rPr>
          <w:rFonts w:ascii="Arial-BoldItalicMT"/>
          <w:b/>
          <w:i/>
          <w:sz w:val="24"/>
        </w:rPr>
        <w:t xml:space="preserve">, </w:t>
      </w:r>
      <w:r>
        <w:rPr>
          <w:rFonts w:ascii="Arial-BoldItalicMT"/>
          <w:b/>
          <w:i/>
          <w:sz w:val="24"/>
        </w:rPr>
        <w:t xml:space="preserve">se </w:t>
      </w:r>
      <w:r>
        <w:rPr>
          <w:rFonts w:ascii="Arial-BoldItalicMT"/>
          <w:b/>
          <w:i/>
          <w:sz w:val="24"/>
        </w:rPr>
        <w:t xml:space="preserve">considerarán estudios de toxicidad repetida. La </w:t>
      </w:r>
      <w:r>
        <w:rPr>
          <w:rFonts w:ascii="Arial-BoldItalicMT"/>
          <w:b/>
          <w:i/>
          <w:sz w:val="24"/>
        </w:rPr>
        <w:t xml:space="preserve">duración </w:t>
      </w:r>
      <w:r>
        <w:rPr>
          <w:rFonts w:ascii="Arial-BoldItalicMT"/>
          <w:b/>
          <w:i/>
          <w:sz w:val="24"/>
        </w:rPr>
        <w:t xml:space="preserve">de </w:t>
      </w:r>
      <w:r>
        <w:rPr>
          <w:rFonts w:ascii="Arial-BoldItalicMT"/>
          <w:b/>
          <w:i/>
          <w:sz w:val="24"/>
        </w:rPr>
        <w:t xml:space="preserve">los </w:t>
      </w:r>
      <w:r>
        <w:rPr>
          <w:rFonts w:ascii="Arial-BoldItalicMT"/>
          <w:b/>
          <w:i/>
          <w:sz w:val="24"/>
        </w:rPr>
        <w:t xml:space="preserve">estudios podrá ser mayor que la de los estudios de toxicidad estándar, en función de la persistencia del medicamento de terapia génica y de los riesgos potenciales previstos. Deberá justificarse la duración.</w:t>
      </w:r>
    </w:p>
    <w:p>
      <w:pPr>
        <w:pStyle w:val="ListParagraph"/>
        <w:numPr>
          <w:ilvl w:val="0"/>
          <w:numId w:val="7"/>
        </w:numPr>
        <w:tabs>
          <w:tab w:val="left" w:leader="none" w:pos="1126"/>
        </w:tabs>
        <w:spacing w:before="160" w:after="0" w:line="240" w:lineRule="auto"/>
        <w:ind w:start="1126" w:end="0" w:hanging="293"/>
        <w:jc w:val="left"/>
        <w:rPr>
          <w:rFonts w:ascii="Arial-BoldItalicMT" w:hAnsi="Arial-BoldItalicMT"/>
          <w:b/>
          <w:i/>
          <w:sz w:val="24"/>
        </w:rPr>
      </w:pPr>
      <w:r>
        <w:rPr>
          <w:rFonts w:ascii="Arial-BoldItalicMT" w:hAnsi="Arial-BoldItalicMT"/>
          <w:b/>
          <w:i/>
          <w:sz w:val="24"/>
        </w:rPr>
        <w:t xml:space="preserve">Se </w:t>
      </w:r>
      <w:r>
        <w:rPr>
          <w:rFonts w:ascii="Arial-BoldItalicMT" w:hAnsi="Arial-BoldItalicMT"/>
          <w:b/>
          <w:i/>
          <w:spacing w:val="-2"/>
          <w:sz w:val="24"/>
        </w:rPr>
        <w:t xml:space="preserve">estudiará </w:t>
      </w:r>
      <w:r>
        <w:rPr>
          <w:rFonts w:ascii="Arial-BoldItalicMT" w:hAnsi="Arial-BoldItalicMT"/>
          <w:b/>
          <w:i/>
          <w:sz w:val="24"/>
        </w:rPr>
        <w:t xml:space="preserve">la genotoxicidad...</w:t>
      </w:r>
    </w:p>
    <w:p>
      <w:pPr>
        <w:pStyle w:val="ListParagraph"/>
        <w:numPr>
          <w:ilvl w:val="0"/>
          <w:numId w:val="7"/>
        </w:numPr>
        <w:tabs>
          <w:tab w:val="left" w:leader="none" w:pos="1114"/>
        </w:tabs>
        <w:spacing w:before="180" w:after="0" w:line="240" w:lineRule="auto"/>
        <w:ind w:start="1114" w:end="0" w:hanging="281"/>
        <w:jc w:val="left"/>
        <w:rPr>
          <w:rFonts w:ascii="Arial-BoldItalicMT" w:hAnsi="Arial-BoldItalicMT"/>
          <w:b/>
          <w:i/>
          <w:sz w:val="24"/>
        </w:rPr>
      </w:pPr>
      <w:r>
        <w:rPr>
          <w:rFonts w:ascii="Arial-BoldItalicMT" w:hAnsi="Arial-BoldItalicMT"/>
          <w:b/>
          <w:i/>
          <w:sz w:val="24"/>
        </w:rPr>
        <w:t xml:space="preserve">Se </w:t>
      </w:r>
      <w:r>
        <w:rPr>
          <w:rFonts w:ascii="Arial-BoldItalicMT" w:hAnsi="Arial-BoldItalicMT"/>
          <w:b/>
          <w:i/>
          <w:spacing w:val="-2"/>
          <w:sz w:val="24"/>
        </w:rPr>
        <w:t xml:space="preserve">estudiará </w:t>
      </w:r>
      <w:r>
        <w:rPr>
          <w:rFonts w:ascii="Arial-BoldItalicMT" w:hAnsi="Arial-BoldItalicMT"/>
          <w:b/>
          <w:i/>
          <w:sz w:val="24"/>
        </w:rPr>
        <w:t xml:space="preserve">la carcinogenicidad...</w:t>
      </w:r>
    </w:p>
    <w:p>
      <w:pPr>
        <w:pStyle w:val="BodyText"/>
        <w:spacing w:before="2"/>
        <w:rPr>
          <w:sz w:val="28"/>
        </w:rPr>
      </w:pPr>
      <w:r>
        <w:rPr/>
        <w:pict>
          <v:rect id="docshape4" style="position:absolute;margin-left:56.639999pt;margin-top:17.406561pt;width:144.050pt;height:.72003pt;mso-position-horizontal-relative:page;mso-position-vertical-relative:paragraph;z-index:-15728128;mso-wrap-distance-left:0;mso-wrap-distance-right:0" filled="true" fillcolor="#000000" stroked="false">
            <v:fill type="solid"/>
            <w10:wrap type="topAndBottom"/>
          </v:rect>
        </w:pict>
      </w:r>
    </w:p>
    <w:p>
      <w:pPr>
        <w:pStyle w:val="BodyText"/>
        <w:spacing w:before="9"/>
        <w:rPr>
          <w:sz w:val="15"/>
        </w:rPr>
      </w:pPr>
    </w:p>
    <w:p>
      <w:pPr>
        <w:spacing w:before="99"/>
        <w:ind w:start="112" w:end="126" w:firstLine="0"/>
        <w:jc w:val="both"/>
        <w:rPr>
          <w:sz w:val="22"/>
        </w:rPr>
      </w:pPr>
      <w:r>
        <w:rPr>
          <w:sz w:val="22"/>
          <w:vertAlign w:val="superscript"/>
        </w:rPr>
        <w:t xml:space="preserve">1</w:t>
      </w:r>
      <w:r>
        <w:rPr>
          <w:sz w:val="22"/>
          <w:vertAlign w:val="baseline"/>
        </w:rPr>
        <w:t xml:space="preserve"> Con la inyección de las llamadas "vacunas" Covid-19, Comirnaty y Spikevax, se añade una secuencia genética y el efecto del producto está relacionado con la expresión genética inducida por la secuencia de ácido nucleico recombinante que contiene.</w:t>
      </w:r>
    </w:p>
    <w:p>
      <w:pPr>
        <w:spacing w:after="0"/>
        <w:jc w:val="both"/>
        <w:rPr>
          <w:sz w:val="22"/>
        </w:rPr>
        <w:sectPr>
          <w:pgSz w:w="11900" w:h="16850"/>
          <w:pgMar w:top="1340" w:right="1000" w:bottom="800" w:left="1020" w:header="0" w:footer="605"/>
        </w:sectPr>
      </w:pPr>
    </w:p>
    <w:p>
      <w:pPr>
        <w:pStyle w:val="ListParagraph"/>
        <w:numPr>
          <w:ilvl w:val="0"/>
          <w:numId w:val="7"/>
        </w:numPr>
        <w:tabs>
          <w:tab w:val="left" w:leader="none" w:pos="1066"/>
        </w:tabs>
        <w:spacing w:before="78" w:after="0" w:line="259" w:lineRule="auto"/>
        <w:ind w:start="833" w:end="128" w:firstLine="0"/>
        <w:jc w:val="both"/>
        <w:rPr>
          <w:rFonts w:ascii="Arial-BoldItalicMT"/>
          <w:b/>
          <w:i/>
          <w:sz w:val="24"/>
        </w:rPr>
      </w:pPr>
      <w:r>
        <w:rPr>
          <w:rFonts w:ascii="Arial-BoldItalicMT"/>
          <w:b/>
          <w:i/>
          <w:sz w:val="24"/>
        </w:rPr>
        <w:t xml:space="preserve">Toxicidad para la reproducción y el desarrollo. </w:t>
      </w:r>
      <w:r>
        <w:rPr>
          <w:rFonts w:ascii="Arial-BoldItalicMT"/>
          <w:b/>
          <w:i/>
          <w:sz w:val="24"/>
        </w:rPr>
        <w:t xml:space="preserve">Se facilitarán estudios sobre los efectos en la fertilidad y la función reproductora en general. Se </w:t>
      </w:r>
      <w:r>
        <w:rPr>
          <w:rFonts w:ascii="Arial-BoldItalicMT"/>
          <w:b/>
          <w:i/>
          <w:spacing w:val="-2"/>
          <w:sz w:val="24"/>
        </w:rPr>
        <w:t xml:space="preserve">proporcionarán estudios de </w:t>
      </w:r>
      <w:r>
        <w:rPr>
          <w:rFonts w:ascii="Arial-BoldItalicMT"/>
          <w:b/>
          <w:i/>
          <w:sz w:val="24"/>
        </w:rPr>
        <w:t xml:space="preserve">toxicidad embriofetal y perinatal y estudios de transmisión de la línea </w:t>
      </w:r>
      <w:r>
        <w:rPr>
          <w:rFonts w:ascii="Arial-BoldItalicMT"/>
          <w:b/>
          <w:i/>
          <w:spacing w:val="-2"/>
          <w:sz w:val="24"/>
        </w:rPr>
        <w:t xml:space="preserve">germinal....</w:t>
      </w:r>
    </w:p>
    <w:p>
      <w:pPr>
        <w:pStyle w:val="BodyText"/>
        <w:spacing w:before="159"/>
        <w:ind w:start="833"/>
      </w:pPr>
      <w:r>
        <w:rPr/>
        <w:t xml:space="preserve">-g) </w:t>
      </w:r>
      <w:r>
        <w:rPr>
          <w:spacing w:val="-2"/>
        </w:rPr>
        <w:t xml:space="preserve">Estudios </w:t>
      </w:r>
      <w:r>
        <w:rPr/>
        <w:t xml:space="preserve">adicionales de </w:t>
      </w:r>
      <w:r>
        <w:rPr/>
        <w:t xml:space="preserve">toxicidad</w:t>
      </w:r>
    </w:p>
    <w:p>
      <w:pPr>
        <w:pStyle w:val="ListParagraph"/>
        <w:numPr>
          <w:ilvl w:val="0"/>
          <w:numId w:val="8"/>
        </w:numPr>
        <w:tabs>
          <w:tab w:val="left" w:leader="none" w:pos="968"/>
        </w:tabs>
        <w:spacing w:before="183" w:after="0" w:line="256" w:lineRule="auto"/>
        <w:ind w:start="833" w:end="129" w:firstLine="0"/>
        <w:jc w:val="both"/>
        <w:rPr>
          <w:rFonts w:ascii="Arial-BoldItalicMT" w:hAnsi="Arial-BoldItalicMT"/>
          <w:b/>
          <w:i/>
          <w:sz w:val="24"/>
        </w:rPr>
      </w:pPr>
      <w:r>
        <w:rPr>
          <w:rFonts w:ascii="Arial-BoldItalicMT" w:hAnsi="Arial-BoldItalicMT"/>
          <w:b/>
          <w:i/>
          <w:sz w:val="24"/>
        </w:rPr>
        <w:t xml:space="preserve">Estudios de </w:t>
      </w:r>
      <w:r>
        <w:rPr>
          <w:rFonts w:ascii="Arial-BoldItalicMT" w:hAnsi="Arial-BoldItalicMT"/>
          <w:b/>
          <w:i/>
          <w:sz w:val="24"/>
        </w:rPr>
        <w:t xml:space="preserve">integración</w:t>
      </w:r>
      <w:r>
        <w:rPr>
          <w:rFonts w:ascii="Arial-BoldItalicMT" w:hAnsi="Arial-BoldItalicMT"/>
          <w:b/>
          <w:i/>
          <w:sz w:val="24"/>
        </w:rPr>
        <w:t xml:space="preserve">: </w:t>
      </w:r>
      <w:r>
        <w:rPr>
          <w:rFonts w:ascii="Arial-BoldItalicMT" w:hAnsi="Arial-BoldItalicMT"/>
          <w:b/>
          <w:i/>
          <w:sz w:val="24"/>
        </w:rPr>
        <w:t xml:space="preserve">se </w:t>
      </w:r>
      <w:r>
        <w:rPr>
          <w:rFonts w:ascii="Arial-BoldItalicMT" w:hAnsi="Arial-BoldItalicMT"/>
          <w:b/>
          <w:i/>
          <w:sz w:val="24"/>
        </w:rPr>
        <w:t xml:space="preserve">proporcionarán </w:t>
      </w:r>
      <w:r>
        <w:rPr>
          <w:rFonts w:ascii="Arial-BoldItalicMT" w:hAnsi="Arial-BoldItalicMT"/>
          <w:b/>
          <w:i/>
          <w:sz w:val="24"/>
        </w:rPr>
        <w:t xml:space="preserve">estudios de integración </w:t>
      </w:r>
      <w:r>
        <w:rPr>
          <w:rFonts w:ascii="Arial-BoldItalicMT" w:hAnsi="Arial-BoldItalicMT"/>
          <w:b/>
          <w:i/>
          <w:sz w:val="24"/>
        </w:rPr>
        <w:t xml:space="preserve">para </w:t>
      </w:r>
      <w:r>
        <w:rPr>
          <w:rFonts w:ascii="Arial-BoldItalicMT" w:hAnsi="Arial-BoldItalicMT"/>
          <w:b/>
          <w:i/>
          <w:sz w:val="24"/>
        </w:rPr>
        <w:t xml:space="preserve">cualquier medicamento de terapia </w:t>
      </w:r>
      <w:r>
        <w:rPr>
          <w:rFonts w:ascii="Arial-BoldItalicMT" w:hAnsi="Arial-BoldItalicMT"/>
          <w:b/>
          <w:i/>
          <w:sz w:val="24"/>
        </w:rPr>
        <w:t xml:space="preserve">génica ..</w:t>
      </w:r>
      <w:r>
        <w:rPr>
          <w:rFonts w:ascii="Arial-BoldItalicMT" w:hAnsi="Arial-BoldItalicMT"/>
          <w:b/>
          <w:i/>
          <w:sz w:val="24"/>
        </w:rPr>
        <w:t xml:space="preserve">. </w:t>
      </w:r>
      <w:r>
        <w:rPr>
          <w:rFonts w:ascii="Arial-BoldItalicMT" w:hAnsi="Arial-BoldItalicMT"/>
          <w:b/>
          <w:i/>
          <w:sz w:val="24"/>
        </w:rPr>
        <w:t xml:space="preserve">Para los medicamentos de terapia génica que no se prevea realizar2</w:t>
      </w:r>
      <w:r>
        <w:rPr>
          <w:rFonts w:ascii="Arial-BoldItalicMT" w:hAnsi="Arial-BoldItalicMT"/>
          <w:b/>
          <w:i/>
          <w:sz w:val="24"/>
        </w:rPr>
        <w:t xml:space="preserve">, si los datos de biodistribución indican un riesgo de transmisión por la línea germinal.</w:t>
      </w:r>
    </w:p>
    <w:p>
      <w:pPr>
        <w:pStyle w:val="ListParagraph"/>
        <w:numPr>
          <w:ilvl w:val="0"/>
          <w:numId w:val="8"/>
        </w:numPr>
        <w:tabs>
          <w:tab w:val="left" w:leader="none" w:pos="1201"/>
        </w:tabs>
        <w:spacing w:before="162" w:after="0" w:line="259" w:lineRule="auto"/>
        <w:ind w:start="833" w:end="128" w:firstLine="0"/>
        <w:jc w:val="both"/>
        <w:rPr>
          <w:rFonts w:ascii="Arial-BoldItalicMT" w:hAnsi="Arial-BoldItalicMT"/>
          <w:b/>
          <w:i/>
          <w:sz w:val="24"/>
        </w:rPr>
      </w:pPr>
      <w:r>
        <w:rPr>
          <w:rFonts w:ascii="Arial-BoldItalicMT" w:hAnsi="Arial-BoldItalicMT"/>
          <w:b/>
          <w:i/>
          <w:sz w:val="24"/>
        </w:rPr>
        <w:t xml:space="preserve">Inmunogenicidad e inmunotoxicidad: </w:t>
      </w:r>
      <w:r>
        <w:rPr>
          <w:rFonts w:ascii="Arial-BoldItalicMT" w:hAnsi="Arial-BoldItalicMT"/>
          <w:b/>
          <w:i/>
          <w:sz w:val="24"/>
        </w:rPr>
        <w:t xml:space="preserve">se estudiarán los </w:t>
      </w:r>
      <w:r>
        <w:rPr>
          <w:rFonts w:ascii="Arial-BoldItalicMT" w:hAnsi="Arial-BoldItalicMT"/>
          <w:b/>
          <w:i/>
          <w:sz w:val="24"/>
        </w:rPr>
        <w:t xml:space="preserve">posibles </w:t>
      </w:r>
      <w:r>
        <w:rPr>
          <w:rFonts w:ascii="Arial-BoldItalicMT" w:hAnsi="Arial-BoldItalicMT"/>
          <w:b/>
          <w:i/>
          <w:sz w:val="24"/>
        </w:rPr>
        <w:t xml:space="preserve">efectos </w:t>
      </w:r>
      <w:r>
        <w:rPr>
          <w:rFonts w:ascii="Arial-BoldItalicMT" w:hAnsi="Arial-BoldItalicMT"/>
          <w:b/>
          <w:i/>
          <w:sz w:val="24"/>
        </w:rPr>
        <w:t xml:space="preserve">inmunogénicos </w:t>
      </w:r>
      <w:r>
        <w:rPr>
          <w:rFonts w:ascii="Arial-BoldItalicMT" w:hAnsi="Arial-BoldItalicMT"/>
          <w:b/>
          <w:i/>
          <w:sz w:val="24"/>
        </w:rPr>
        <w:t xml:space="preserve">e inmunotóxicos. "</w:t>
      </w:r>
    </w:p>
    <w:p>
      <w:pPr>
        <w:spacing w:before="158" w:line="261" w:lineRule="auto"/>
        <w:ind w:start="833" w:end="129" w:firstLine="0"/>
        <w:jc w:val="both"/>
        <w:rPr>
          <w:sz w:val="24"/>
        </w:rPr>
      </w:pPr>
      <w:r>
        <w:rPr>
          <w:sz w:val="24"/>
        </w:rPr>
        <w:t xml:space="preserve">En la sección 5.1. Se prevén requisitos específicos para todos los medicamentos de terapia avanzada:</w:t>
      </w:r>
    </w:p>
    <w:p>
      <w:pPr>
        <w:pStyle w:val="BodyText"/>
        <w:spacing w:before="155" w:line="259" w:lineRule="auto"/>
        <w:ind w:start="833" w:end="132"/>
        <w:jc w:val="both"/>
      </w:pPr>
      <w:r>
        <w:rPr/>
        <w:t xml:space="preserve">"5.1.7 Se incluirá en el plan de gestión de riesgos una estrategia para el seguimiento a largo plazo de la seguridad y la eficacia. "</w:t>
      </w:r>
    </w:p>
    <w:p>
      <w:pPr>
        <w:spacing w:before="160" w:line="259" w:lineRule="auto"/>
        <w:ind w:start="833" w:end="130" w:firstLine="0"/>
        <w:jc w:val="both"/>
        <w:rPr>
          <w:sz w:val="24"/>
        </w:rPr>
      </w:pPr>
      <w:r>
        <w:rPr>
          <w:sz w:val="24"/>
        </w:rPr>
        <w:t xml:space="preserve">En </w:t>
      </w:r>
      <w:r>
        <w:rPr>
          <w:sz w:val="24"/>
        </w:rPr>
        <w:t xml:space="preserve">la sección </w:t>
      </w:r>
      <w:r>
        <w:rPr>
          <w:sz w:val="24"/>
        </w:rPr>
        <w:t xml:space="preserve">5.2. </w:t>
      </w:r>
      <w:r>
        <w:rPr>
          <w:sz w:val="24"/>
        </w:rPr>
        <w:t xml:space="preserve">Se </w:t>
      </w:r>
      <w:r>
        <w:rPr>
          <w:spacing w:val="-4"/>
          <w:sz w:val="24"/>
        </w:rPr>
        <w:t xml:space="preserve">prevén </w:t>
      </w:r>
      <w:r>
        <w:rPr>
          <w:sz w:val="24"/>
        </w:rPr>
        <w:t xml:space="preserve">requisitos </w:t>
      </w:r>
      <w:r>
        <w:rPr>
          <w:sz w:val="24"/>
        </w:rPr>
        <w:t xml:space="preserve">específicos </w:t>
      </w:r>
      <w:r>
        <w:rPr>
          <w:sz w:val="24"/>
        </w:rPr>
        <w:t xml:space="preserve">para los </w:t>
      </w:r>
      <w:r>
        <w:rPr>
          <w:sz w:val="24"/>
        </w:rPr>
        <w:t xml:space="preserve">medicamentos de </w:t>
      </w:r>
      <w:r>
        <w:rPr>
          <w:sz w:val="24"/>
        </w:rPr>
        <w:t xml:space="preserve">terapia </w:t>
      </w:r>
      <w:r>
        <w:rPr>
          <w:sz w:val="24"/>
        </w:rPr>
        <w:t xml:space="preserve">génica</w:t>
      </w:r>
      <w:r>
        <w:rPr>
          <w:spacing w:val="-4"/>
          <w:sz w:val="24"/>
        </w:rPr>
        <w:t xml:space="preserve">:</w:t>
      </w:r>
    </w:p>
    <w:p>
      <w:pPr>
        <w:pStyle w:val="BodyText"/>
        <w:spacing w:before="160"/>
        <w:ind w:start="833"/>
      </w:pPr>
      <w:r>
        <w:rPr/>
        <w:t xml:space="preserve">"5.2.1. </w:t>
      </w:r>
      <w:r>
        <w:rPr>
          <w:spacing w:val="-2"/>
        </w:rPr>
        <w:t xml:space="preserve">Estudios </w:t>
      </w:r>
      <w:r>
        <w:rPr/>
        <w:t xml:space="preserve">farmacocinéticos </w:t>
      </w:r>
      <w:r>
        <w:rPr/>
        <w:t xml:space="preserve">en humanos</w:t>
      </w:r>
    </w:p>
    <w:p>
      <w:pPr>
        <w:pStyle w:val="BodyText"/>
        <w:spacing w:before="182"/>
        <w:ind w:start="833"/>
      </w:pPr>
      <w:r>
        <w:rPr/>
        <w:t xml:space="preserve">Los estudios </w:t>
      </w:r>
      <w:r>
        <w:rPr/>
        <w:t xml:space="preserve">farmacocinéticos </w:t>
      </w:r>
      <w:r>
        <w:rPr/>
        <w:t xml:space="preserve">en humanos </w:t>
      </w:r>
      <w:r>
        <w:rPr/>
        <w:t xml:space="preserve">deberán </w:t>
      </w:r>
      <w:r>
        <w:rPr/>
        <w:t xml:space="preserve">incluir </w:t>
      </w:r>
      <w:r>
        <w:rPr/>
        <w:t xml:space="preserve">los </w:t>
      </w:r>
      <w:r>
        <w:rPr/>
        <w:t xml:space="preserve">siguientes </w:t>
      </w:r>
      <w:r>
        <w:rPr>
          <w:spacing w:val="-2"/>
        </w:rPr>
        <w:t xml:space="preserve">aspectos:</w:t>
      </w:r>
    </w:p>
    <w:p>
      <w:pPr>
        <w:pStyle w:val="ListParagraph"/>
        <w:numPr>
          <w:ilvl w:val="0"/>
          <w:numId w:val="9"/>
        </w:numPr>
        <w:tabs>
          <w:tab w:val="left" w:leader="none" w:pos="1194"/>
        </w:tabs>
        <w:spacing w:before="182" w:after="0" w:line="259" w:lineRule="auto"/>
        <w:ind w:start="1193" w:end="129" w:hanging="360"/>
        <w:jc w:val="left"/>
        <w:rPr>
          <w:rFonts w:ascii="Arial-BoldItalicMT"/>
          <w:b/>
          <w:i/>
          <w:sz w:val="24"/>
        </w:rPr>
      </w:pPr>
      <w:r>
        <w:rPr>
          <w:rFonts w:ascii="Arial-BoldItalicMT"/>
          <w:b/>
          <w:i/>
          <w:sz w:val="24"/>
        </w:rPr>
        <w:t xml:space="preserve">Estudios de vertido para abordar la excreción de los medicamentos de terapia génica</w:t>
      </w:r>
      <w:r>
        <w:rPr>
          <w:rFonts w:ascii="Arial-BoldItalicMT"/>
          <w:b/>
          <w:i/>
          <w:spacing w:val="-2"/>
          <w:sz w:val="24"/>
        </w:rPr>
        <w:t xml:space="preserve">;</w:t>
      </w:r>
    </w:p>
    <w:p>
      <w:pPr>
        <w:pStyle w:val="ListParagraph"/>
        <w:numPr>
          <w:ilvl w:val="0"/>
          <w:numId w:val="9"/>
        </w:numPr>
        <w:tabs>
          <w:tab w:val="left" w:leader="none" w:pos="1194"/>
        </w:tabs>
        <w:spacing w:before="158" w:after="0" w:line="240" w:lineRule="auto"/>
        <w:ind w:start="1193" w:end="0" w:hanging="361"/>
        <w:jc w:val="left"/>
        <w:rPr>
          <w:rFonts w:ascii="Arial-BoldItalicMT"/>
          <w:b/>
          <w:i/>
          <w:sz w:val="24"/>
        </w:rPr>
      </w:pPr>
      <w:r>
        <w:rPr>
          <w:rFonts w:ascii="Arial-BoldItalicMT"/>
          <w:b/>
          <w:i/>
          <w:spacing w:val="-2"/>
          <w:sz w:val="24"/>
        </w:rPr>
        <w:t xml:space="preserve">Estudios de </w:t>
      </w:r>
      <w:r>
        <w:rPr>
          <w:rFonts w:ascii="Arial-BoldItalicMT"/>
          <w:b/>
          <w:i/>
          <w:w w:val="95"/>
          <w:sz w:val="24"/>
        </w:rPr>
        <w:t xml:space="preserve">biodistribución</w:t>
      </w:r>
      <w:r>
        <w:rPr>
          <w:rFonts w:ascii="Arial-BoldItalicMT"/>
          <w:b/>
          <w:i/>
          <w:spacing w:val="-2"/>
          <w:sz w:val="24"/>
        </w:rPr>
        <w:t xml:space="preserve">;</w:t>
      </w:r>
    </w:p>
    <w:p>
      <w:pPr>
        <w:pStyle w:val="ListParagraph"/>
        <w:numPr>
          <w:ilvl w:val="0"/>
          <w:numId w:val="9"/>
        </w:numPr>
        <w:tabs>
          <w:tab w:val="left" w:leader="none" w:pos="1194"/>
        </w:tabs>
        <w:spacing w:before="183" w:after="0" w:line="259" w:lineRule="auto"/>
        <w:ind w:start="1193" w:end="129" w:hanging="360"/>
        <w:jc w:val="left"/>
        <w:rPr>
          <w:rFonts w:ascii="Arial-BoldItalicMT"/>
          <w:b/>
          <w:i/>
          <w:sz w:val="24"/>
        </w:rPr>
      </w:pPr>
      <w:r>
        <w:rPr>
          <w:rFonts w:ascii="Arial-BoldItalicMT"/>
          <w:b/>
          <w:i/>
          <w:sz w:val="24"/>
        </w:rPr>
        <w:t xml:space="preserve">Estudios </w:t>
      </w:r>
      <w:r>
        <w:rPr>
          <w:rFonts w:ascii="Arial-BoldItalicMT"/>
          <w:b/>
          <w:i/>
          <w:sz w:val="24"/>
        </w:rPr>
        <w:t xml:space="preserve">farmacocinéticos </w:t>
      </w:r>
      <w:r>
        <w:rPr>
          <w:rFonts w:ascii="Arial-BoldItalicMT"/>
          <w:b/>
          <w:i/>
          <w:sz w:val="24"/>
        </w:rPr>
        <w:t xml:space="preserve">del </w:t>
      </w:r>
      <w:r>
        <w:rPr>
          <w:rFonts w:ascii="Arial-BoldItalicMT"/>
          <w:b/>
          <w:i/>
          <w:sz w:val="24"/>
        </w:rPr>
        <w:t xml:space="preserve">medicamento </w:t>
      </w:r>
      <w:r>
        <w:rPr>
          <w:rFonts w:ascii="Arial-BoldItalicMT"/>
          <w:b/>
          <w:i/>
          <w:sz w:val="24"/>
        </w:rPr>
        <w:t xml:space="preserve">y de </w:t>
      </w:r>
      <w:r>
        <w:rPr>
          <w:rFonts w:ascii="Arial-BoldItalicMT"/>
          <w:b/>
          <w:i/>
          <w:sz w:val="24"/>
        </w:rPr>
        <w:t xml:space="preserve">los </w:t>
      </w:r>
      <w:r>
        <w:rPr>
          <w:rFonts w:ascii="Arial-BoldItalicMT"/>
          <w:b/>
          <w:i/>
          <w:sz w:val="24"/>
        </w:rPr>
        <w:t xml:space="preserve">elementos de expresión </w:t>
      </w:r>
      <w:r>
        <w:rPr>
          <w:rFonts w:ascii="Arial-BoldItalicMT"/>
          <w:b/>
          <w:i/>
          <w:sz w:val="24"/>
        </w:rPr>
        <w:t xml:space="preserve">genética (es decir, </w:t>
      </w:r>
      <w:r>
        <w:rPr>
          <w:rFonts w:ascii="Arial-BoldItalicMT"/>
          <w:b/>
          <w:i/>
          <w:sz w:val="24"/>
        </w:rPr>
        <w:t xml:space="preserve">proteínas expresadas o firmas genómicas).</w:t>
      </w:r>
    </w:p>
    <w:p>
      <w:pPr>
        <w:pStyle w:val="BodyText"/>
        <w:spacing w:before="160"/>
        <w:ind w:start="833"/>
      </w:pPr>
      <w:r>
        <w:rPr/>
        <w:t xml:space="preserve">5.2.2. </w:t>
      </w:r>
      <w:r>
        <w:rPr>
          <w:spacing w:val="-2"/>
        </w:rPr>
        <w:t xml:space="preserve">Estudios </w:t>
      </w:r>
      <w:r>
        <w:rPr/>
        <w:t xml:space="preserve">farmacodinámicos </w:t>
      </w:r>
      <w:r>
        <w:rPr/>
        <w:t xml:space="preserve">en humanos</w:t>
      </w:r>
    </w:p>
    <w:p>
      <w:pPr>
        <w:pStyle w:val="BodyText"/>
        <w:spacing w:before="182" w:line="259" w:lineRule="auto"/>
        <w:ind w:start="833" w:end="128"/>
        <w:jc w:val="both"/>
      </w:pPr>
      <w:r>
        <w:rPr/>
        <w:t xml:space="preserve">Los estudios farmacodinámicos en humanos deberán abordar la expresión y la función de la secuencia de ácidos nucleicos tras la administración del medicamento de terapia génica.</w:t>
      </w:r>
    </w:p>
    <w:p>
      <w:pPr>
        <w:pStyle w:val="BodyText"/>
        <w:spacing w:before="159"/>
        <w:ind w:start="833"/>
      </w:pPr>
      <w:r>
        <w:rPr/>
        <w:t xml:space="preserve">5.2.3. </w:t>
      </w:r>
      <w:r>
        <w:rPr>
          <w:spacing w:val="-2"/>
        </w:rPr>
        <w:t xml:space="preserve">Estudios de </w:t>
      </w:r>
      <w:r>
        <w:rPr/>
        <w:t xml:space="preserve">seguridad</w:t>
      </w:r>
    </w:p>
    <w:p>
      <w:pPr>
        <w:pStyle w:val="BodyText"/>
        <w:spacing w:before="181"/>
        <w:ind w:start="833"/>
      </w:pPr>
      <w:r>
        <w:rPr/>
        <w:t xml:space="preserve">Los </w:t>
      </w:r>
      <w:r>
        <w:rPr/>
        <w:t xml:space="preserve">estudios de </w:t>
      </w:r>
      <w:r>
        <w:rPr/>
        <w:t xml:space="preserve">seguridad </w:t>
      </w:r>
      <w:r>
        <w:rPr/>
        <w:t xml:space="preserve">abordarán </w:t>
      </w:r>
      <w:r>
        <w:rPr/>
        <w:t xml:space="preserve">los </w:t>
      </w:r>
      <w:r>
        <w:rPr/>
        <w:t xml:space="preserve">siguientes </w:t>
      </w:r>
      <w:r>
        <w:rPr/>
        <w:t xml:space="preserve">aspectos: </w:t>
      </w:r>
      <w:r>
        <w:rPr>
          <w:spacing w:val="-10"/>
        </w:rPr>
        <w:t xml:space="preserve">...</w:t>
      </w:r>
    </w:p>
    <w:p>
      <w:pPr>
        <w:pStyle w:val="ListParagraph"/>
        <w:numPr>
          <w:ilvl w:val="0"/>
          <w:numId w:val="9"/>
        </w:numPr>
        <w:tabs>
          <w:tab w:val="left" w:leader="none" w:pos="1194"/>
        </w:tabs>
        <w:spacing w:before="183" w:after="0" w:line="240" w:lineRule="auto"/>
        <w:ind w:start="1193" w:end="0" w:hanging="361"/>
        <w:jc w:val="left"/>
        <w:rPr>
          <w:rFonts w:ascii="Arial-BoldItalicMT"/>
          <w:b/>
          <w:i/>
          <w:sz w:val="24"/>
        </w:rPr>
      </w:pPr>
      <w:r>
        <w:rPr>
          <w:rFonts w:ascii="Arial-BoldItalicMT"/>
          <w:b/>
          <w:i/>
          <w:sz w:val="24"/>
        </w:rPr>
        <w:t xml:space="preserve">proliferación </w:t>
      </w:r>
      <w:r>
        <w:rPr>
          <w:rFonts w:ascii="Arial-BoldItalicMT"/>
          <w:b/>
          <w:i/>
          <w:sz w:val="24"/>
        </w:rPr>
        <w:t xml:space="preserve">neoplásica </w:t>
      </w:r>
      <w:r>
        <w:rPr>
          <w:rFonts w:ascii="Arial-BoldItalicMT"/>
          <w:b/>
          <w:i/>
          <w:sz w:val="24"/>
        </w:rPr>
        <w:t xml:space="preserve">debido </w:t>
      </w:r>
      <w:r>
        <w:rPr>
          <w:rFonts w:ascii="Arial-BoldItalicMT"/>
          <w:b/>
          <w:i/>
          <w:sz w:val="24"/>
        </w:rPr>
        <w:t xml:space="preserve">a la </w:t>
      </w:r>
      <w:r>
        <w:rPr>
          <w:rFonts w:ascii="Arial-BoldItalicMT"/>
          <w:b/>
          <w:i/>
          <w:sz w:val="24"/>
        </w:rPr>
        <w:t xml:space="preserve">mutagenicidad </w:t>
      </w:r>
      <w:r>
        <w:rPr>
          <w:rFonts w:ascii="Arial-BoldItalicMT"/>
          <w:b/>
          <w:i/>
          <w:sz w:val="24"/>
        </w:rPr>
        <w:t xml:space="preserve">de inserción</w:t>
      </w:r>
      <w:r>
        <w:rPr>
          <w:rFonts w:ascii="Arial-BoldItalicMT"/>
          <w:b/>
          <w:i/>
          <w:sz w:val="24"/>
        </w:rPr>
        <w:t xml:space="preserve">. </w:t>
      </w:r>
      <w:r>
        <w:rPr>
          <w:rFonts w:ascii="Arial-BoldItalicMT"/>
          <w:b/>
          <w:i/>
          <w:spacing w:val="-10"/>
          <w:sz w:val="24"/>
        </w:rPr>
        <w:t xml:space="preserve">"</w:t>
      </w:r>
    </w:p>
    <w:p>
      <w:pPr>
        <w:pStyle w:val="BodyText"/>
        <w:rPr>
          <w:sz w:val="26"/>
        </w:rPr>
      </w:pPr>
    </w:p>
    <w:p>
      <w:pPr>
        <w:pStyle w:val="BodyText"/>
        <w:spacing w:before="8"/>
        <w:rPr>
          <w:sz w:val="29"/>
        </w:rPr>
      </w:pPr>
    </w:p>
    <w:p>
      <w:pPr>
        <w:pStyle w:val="ListParagraph"/>
        <w:numPr>
          <w:ilvl w:val="0"/>
          <w:numId w:val="5"/>
        </w:numPr>
        <w:tabs>
          <w:tab w:val="left" w:leader="none" w:pos="822"/>
        </w:tabs>
        <w:spacing w:before="0" w:after="0" w:line="240" w:lineRule="auto"/>
        <w:ind w:start="821" w:end="127" w:hanging="360"/>
        <w:jc w:val="left"/>
        <w:rPr>
          <w:b/>
          <w:sz w:val="24"/>
        </w:rPr>
      </w:pPr>
      <w:r>
        <w:rPr>
          <w:b/>
          <w:sz w:val="24"/>
          <w:u w:val="thick"/>
        </w:rPr>
        <w:t xml:space="preserve">La función de las llamadas "vacunas Covid-19" es exactamente la descrita por el </w:t>
      </w:r>
      <w:r>
        <w:rPr>
          <w:b/>
          <w:sz w:val="24"/>
          <w:u w:val="thick"/>
        </w:rPr>
        <w:t xml:space="preserve">legislador de la UE para la definición de los medicamentos de terapia génica</w:t>
      </w:r>
      <w:r>
        <w:rPr>
          <w:b/>
          <w:sz w:val="24"/>
        </w:rPr>
        <w:t xml:space="preserve">.</w:t>
      </w:r>
    </w:p>
    <w:p>
      <w:pPr>
        <w:spacing w:before="0" w:line="240" w:lineRule="auto"/>
        <w:rPr>
          <w:b/>
          <w:sz w:val="20"/>
        </w:rPr>
      </w:pPr>
    </w:p>
    <w:p>
      <w:pPr>
        <w:spacing w:before="3" w:line="240" w:lineRule="auto"/>
        <w:rPr>
          <w:b/>
          <w:sz w:val="10"/>
        </w:rPr>
      </w:pPr>
      <w:r>
        <w:rPr/>
        <w:pict>
          <v:rect id="docshape5" style="position:absolute;margin-left:56.639999pt;margin-top:7.109649pt;width:144.050pt;height:.71997pt;mso-position-horizontal-relative:page;mso-position-vertical-relative:paragraph;z-index:-15727616;mso-wrap-distance-left:0;mso-wrap-distance-right:0" filled="true" fillcolor="#000000" stroked="false">
            <v:fill type="solid"/>
            <w10:wrap type="topAndBottom"/>
          </v:rect>
        </w:pict>
      </w:r>
    </w:p>
    <w:p>
      <w:pPr>
        <w:spacing w:before="0" w:line="240" w:lineRule="auto"/>
        <w:rPr>
          <w:b/>
          <w:sz w:val="16"/>
        </w:rPr>
      </w:pPr>
    </w:p>
    <w:p>
      <w:pPr>
        <w:spacing w:before="99"/>
        <w:ind w:start="112" w:end="50" w:firstLine="0"/>
        <w:jc w:val="left"/>
        <w:rPr>
          <w:sz w:val="22"/>
        </w:rPr>
      </w:pPr>
      <w:r>
        <w:rPr>
          <w:sz w:val="22"/>
          <w:vertAlign w:val="superscript"/>
        </w:rPr>
        <w:t xml:space="preserve">2</w:t>
      </w:r>
      <w:r>
        <w:rPr>
          <w:sz w:val="22"/>
          <w:vertAlign w:val="baseline"/>
        </w:rPr>
        <w:t xml:space="preserve"> No </w:t>
      </w:r>
      <w:r>
        <w:rPr>
          <w:sz w:val="22"/>
          <w:vertAlign w:val="baseline"/>
        </w:rPr>
        <w:t xml:space="preserve">hay ninguna </w:t>
      </w:r>
      <w:r>
        <w:rPr>
          <w:sz w:val="22"/>
          <w:vertAlign w:val="baseline"/>
        </w:rPr>
        <w:t xml:space="preserve">razón </w:t>
      </w:r>
      <w:r>
        <w:rPr>
          <w:sz w:val="22"/>
          <w:vertAlign w:val="baseline"/>
        </w:rPr>
        <w:t xml:space="preserve">que </w:t>
      </w:r>
      <w:r>
        <w:rPr>
          <w:sz w:val="22"/>
          <w:vertAlign w:val="baseline"/>
        </w:rPr>
        <w:t xml:space="preserve">pueda </w:t>
      </w:r>
      <w:r>
        <w:rPr>
          <w:sz w:val="22"/>
          <w:vertAlign w:val="baseline"/>
        </w:rPr>
        <w:t xml:space="preserve">excluir </w:t>
      </w:r>
      <w:r>
        <w:rPr>
          <w:sz w:val="22"/>
          <w:vertAlign w:val="baseline"/>
        </w:rPr>
        <w:t xml:space="preserve">para </w:t>
      </w:r>
      <w:r>
        <w:rPr>
          <w:sz w:val="22"/>
          <w:vertAlign w:val="baseline"/>
        </w:rPr>
        <w:t xml:space="preserve">este </w:t>
      </w:r>
      <w:r>
        <w:rPr>
          <w:sz w:val="22"/>
          <w:vertAlign w:val="baseline"/>
        </w:rPr>
        <w:t xml:space="preserve">tipo </w:t>
      </w:r>
      <w:r>
        <w:rPr>
          <w:sz w:val="22"/>
          <w:vertAlign w:val="baseline"/>
        </w:rPr>
        <w:t xml:space="preserve">de productos, </w:t>
      </w:r>
      <w:r>
        <w:rPr>
          <w:sz w:val="22"/>
          <w:vertAlign w:val="baseline"/>
        </w:rPr>
        <w:t xml:space="preserve">sin </w:t>
      </w:r>
      <w:r>
        <w:rPr>
          <w:sz w:val="22"/>
          <w:vertAlign w:val="baseline"/>
        </w:rPr>
        <w:t xml:space="preserve">hacer </w:t>
      </w:r>
      <w:r>
        <w:rPr>
          <w:sz w:val="22"/>
          <w:vertAlign w:val="baseline"/>
        </w:rPr>
        <w:t xml:space="preserve">ningún </w:t>
      </w:r>
      <w:r>
        <w:rPr>
          <w:sz w:val="22"/>
          <w:vertAlign w:val="baseline"/>
        </w:rPr>
        <w:t xml:space="preserve">estudio, </w:t>
      </w:r>
      <w:r>
        <w:rPr>
          <w:sz w:val="22"/>
          <w:vertAlign w:val="baseline"/>
        </w:rPr>
        <w:t xml:space="preserve">la inserción en el ADN humano.</w:t>
      </w:r>
    </w:p>
    <w:p>
      <w:pPr>
        <w:spacing w:after="0"/>
        <w:jc w:val="left"/>
        <w:rPr>
          <w:sz w:val="22"/>
        </w:rPr>
        <w:sectPr>
          <w:pgSz w:w="11900" w:h="16850"/>
          <w:pgMar w:top="1340" w:right="1000" w:bottom="800" w:left="1020" w:header="0" w:footer="605"/>
        </w:sectPr>
      </w:pPr>
    </w:p>
    <w:p>
      <w:pPr>
        <w:pStyle w:val="ListParagraph"/>
        <w:numPr>
          <w:ilvl w:val="0"/>
          <w:numId w:val="5"/>
        </w:numPr>
        <w:tabs>
          <w:tab w:val="left" w:leader="none" w:pos="822"/>
        </w:tabs>
        <w:spacing w:before="78" w:after="0" w:line="249" w:lineRule="auto"/>
        <w:ind w:start="821" w:end="128" w:hanging="360"/>
        <w:jc w:val="both"/>
        <w:rPr>
          <w:rFonts w:ascii="Arial-BoldItalicMT" w:hAnsi="Arial-BoldItalicMT"/>
          <w:b/>
          <w:i/>
          <w:sz w:val="24"/>
        </w:rPr>
      </w:pPr>
      <w:r>
        <w:rPr>
          <w:b/>
          <w:sz w:val="24"/>
        </w:rPr>
        <w:t xml:space="preserve">Según el considerando 10 del Reglamento (CE) nº 1394/2007, </w:t>
      </w:r>
      <w:r>
        <w:rPr>
          <w:rFonts w:ascii="Arial-BoldItalicMT" w:hAnsi="Arial-BoldItalicMT"/>
          <w:b/>
          <w:i/>
          <w:sz w:val="24"/>
        </w:rPr>
        <w:t xml:space="preserve">"la evaluación de los medicamentos de terapia avanzada requiere a menudo conocimientos técnicos muy específicos, que van más allá del ámbito farmacéutico tradicional".</w:t>
      </w:r>
    </w:p>
    <w:p>
      <w:pPr>
        <w:pStyle w:val="ListParagraph"/>
        <w:numPr>
          <w:ilvl w:val="0"/>
          <w:numId w:val="5"/>
        </w:numPr>
        <w:tabs>
          <w:tab w:val="left" w:leader="none" w:pos="822"/>
        </w:tabs>
        <w:spacing w:before="172" w:after="0" w:line="252" w:lineRule="auto"/>
        <w:ind w:start="821" w:end="127" w:hanging="360"/>
        <w:jc w:val="both"/>
        <w:rPr>
          <w:rFonts w:ascii="Arial-BoldItalicMT" w:hAnsi="Arial-BoldItalicMT"/>
          <w:b/>
          <w:i/>
          <w:sz w:val="24"/>
        </w:rPr>
      </w:pPr>
      <w:r>
        <w:rPr>
          <w:b/>
          <w:sz w:val="24"/>
        </w:rPr>
        <w:t xml:space="preserve">En el considerando (10) del Reglamento (CE) </w:t>
      </w:r>
      <w:r>
        <w:rPr>
          <w:b/>
          <w:sz w:val="24"/>
        </w:rPr>
        <w:t xml:space="preserve">nº 1394/2007, el legislador comunitario dispuso también que </w:t>
      </w:r>
      <w:r>
        <w:rPr>
          <w:rFonts w:ascii="Arial-BoldItalicMT" w:hAnsi="Arial-BoldItalicMT"/>
          <w:b/>
          <w:i/>
          <w:sz w:val="24"/>
          <w:u w:val="thick"/>
        </w:rPr>
        <w:t xml:space="preserve">"Además, el Comité de terapias avanzadas debe </w:t>
      </w:r>
      <w:r>
        <w:rPr>
          <w:rFonts w:ascii="Arial-BoldItalicMT" w:hAnsi="Arial-BoldItalicMT"/>
          <w:b/>
          <w:i/>
          <w:sz w:val="24"/>
          <w:u w:val="thick"/>
        </w:rPr>
        <w:t xml:space="preserve">ser </w:t>
      </w:r>
      <w:r>
        <w:rPr>
          <w:rFonts w:ascii="Arial-BoldItalicMT" w:hAnsi="Arial-BoldItalicMT"/>
          <w:b/>
          <w:i/>
          <w:sz w:val="24"/>
          <w:u w:val="thick"/>
        </w:rPr>
        <w:t xml:space="preserve">consultado </w:t>
      </w:r>
      <w:r>
        <w:rPr>
          <w:rFonts w:ascii="Arial-BoldItalicMT" w:hAnsi="Arial-BoldItalicMT"/>
          <w:b/>
          <w:i/>
          <w:sz w:val="24"/>
          <w:u w:val="thick"/>
        </w:rPr>
        <w:t xml:space="preserve">para </w:t>
      </w:r>
      <w:r>
        <w:rPr>
          <w:rFonts w:ascii="Arial-BoldItalicMT" w:hAnsi="Arial-BoldItalicMT"/>
          <w:b/>
          <w:i/>
          <w:sz w:val="24"/>
          <w:u w:val="thick"/>
        </w:rPr>
        <w:t xml:space="preserve">la </w:t>
      </w:r>
      <w:r>
        <w:rPr>
          <w:rFonts w:ascii="Arial-BoldItalicMT" w:hAnsi="Arial-BoldItalicMT"/>
          <w:b/>
          <w:i/>
          <w:sz w:val="24"/>
          <w:u w:val="thick"/>
        </w:rPr>
        <w:t xml:space="preserve">evaluación </w:t>
      </w:r>
      <w:r>
        <w:rPr>
          <w:rFonts w:ascii="Arial-BoldItalicMT" w:hAnsi="Arial-BoldItalicMT"/>
          <w:b/>
          <w:i/>
          <w:sz w:val="24"/>
          <w:u w:val="thick"/>
        </w:rPr>
        <w:t xml:space="preserve">de </w:t>
      </w:r>
      <w:r>
        <w:rPr>
          <w:rFonts w:ascii="Arial-BoldItalicMT" w:hAnsi="Arial-BoldItalicMT"/>
          <w:b/>
          <w:i/>
          <w:sz w:val="24"/>
          <w:u w:val="thick"/>
        </w:rPr>
        <w:t xml:space="preserve">cualquier </w:t>
      </w:r>
      <w:r>
        <w:rPr>
          <w:rFonts w:ascii="Arial-BoldItalicMT" w:hAnsi="Arial-BoldItalicMT"/>
          <w:b/>
          <w:i/>
          <w:sz w:val="24"/>
          <w:u w:val="thick"/>
        </w:rPr>
        <w:t xml:space="preserve">otro </w:t>
      </w:r>
      <w:r>
        <w:rPr>
          <w:rFonts w:ascii="Arial-BoldItalicMT" w:hAnsi="Arial-BoldItalicMT"/>
          <w:b/>
          <w:i/>
          <w:sz w:val="24"/>
          <w:u w:val="thick"/>
        </w:rPr>
        <w:t xml:space="preserve">medicamento </w:t>
      </w:r>
      <w:r>
        <w:rPr>
          <w:rFonts w:ascii="Arial-BoldItalicMT" w:hAnsi="Arial-BoldItalicMT"/>
          <w:b/>
          <w:i/>
          <w:sz w:val="24"/>
          <w:u w:val="thick"/>
        </w:rPr>
        <w:t xml:space="preserve">que </w:t>
      </w:r>
      <w:r>
        <w:rPr>
          <w:rFonts w:ascii="Arial-BoldItalicMT" w:hAnsi="Arial-BoldItalicMT"/>
          <w:b/>
          <w:i/>
          <w:sz w:val="24"/>
          <w:u w:val="thick"/>
        </w:rPr>
        <w:t xml:space="preserve">requiera </w:t>
      </w:r>
      <w:r>
        <w:rPr>
          <w:rFonts w:ascii="Arial-BoldItalicMT" w:hAnsi="Arial-BoldItalicMT"/>
          <w:b/>
          <w:i/>
          <w:sz w:val="24"/>
          <w:u w:val="thick"/>
        </w:rPr>
        <w:t xml:space="preserve">conocimientos técnicos que entren en su ámbito de competencia</w:t>
      </w:r>
    </w:p>
    <w:p>
      <w:pPr>
        <w:pStyle w:val="ListParagraph"/>
        <w:numPr>
          <w:ilvl w:val="0"/>
          <w:numId w:val="5"/>
        </w:numPr>
        <w:tabs>
          <w:tab w:val="left" w:leader="none" w:pos="822"/>
        </w:tabs>
        <w:spacing w:before="170" w:after="0" w:line="256" w:lineRule="auto"/>
        <w:ind w:start="821" w:end="128" w:hanging="360"/>
        <w:jc w:val="both"/>
        <w:rPr>
          <w:b/>
          <w:sz w:val="24"/>
        </w:rPr>
      </w:pPr>
      <w:r>
        <w:rPr>
          <w:b/>
          <w:sz w:val="24"/>
        </w:rPr>
        <w:t xml:space="preserve">Hay que señalar que los </w:t>
      </w:r>
      <w:r>
        <w:rPr>
          <w:b/>
          <w:sz w:val="24"/>
        </w:rPr>
        <w:t xml:space="preserve">considerandos</w:t>
      </w:r>
      <w:r>
        <w:rPr>
          <w:b/>
          <w:sz w:val="24"/>
        </w:rPr>
        <w:t xml:space="preserve"> del Reglamento (CE) nº 1394/2007, obviamente, aunque incomprensiblemente no aparezcan en la actual versión consolidada, siguen vigentes, porque nunca fueron derogados ni modificados </w:t>
      </w:r>
      <w:r>
        <w:rPr>
          <w:b/>
          <w:sz w:val="24"/>
        </w:rPr>
        <w:t xml:space="preserve">por </w:t>
      </w:r>
      <w:r>
        <w:rPr>
          <w:b/>
          <w:sz w:val="24"/>
        </w:rPr>
        <w:t xml:space="preserve">los </w:t>
      </w:r>
      <w:r>
        <w:rPr>
          <w:b/>
          <w:sz w:val="24"/>
        </w:rPr>
        <w:t xml:space="preserve">reglamentos </w:t>
      </w:r>
      <w:r>
        <w:rPr>
          <w:b/>
          <w:sz w:val="24"/>
        </w:rPr>
        <w:t xml:space="preserve">comunitarios </w:t>
      </w:r>
      <w:r>
        <w:rPr>
          <w:b/>
          <w:sz w:val="24"/>
        </w:rPr>
        <w:t xml:space="preserve">que </w:t>
      </w:r>
      <w:r>
        <w:rPr>
          <w:b/>
          <w:sz w:val="24"/>
        </w:rPr>
        <w:t xml:space="preserve">modificaron </w:t>
      </w:r>
      <w:r>
        <w:rPr>
          <w:b/>
          <w:sz w:val="24"/>
        </w:rPr>
        <w:t xml:space="preserve">parcialmente </w:t>
      </w:r>
      <w:r>
        <w:rPr>
          <w:b/>
          <w:sz w:val="24"/>
        </w:rPr>
        <w:t xml:space="preserve">el </w:t>
      </w:r>
      <w:r>
        <w:rPr>
          <w:b/>
          <w:sz w:val="24"/>
        </w:rPr>
        <w:t xml:space="preserve">Reglamento </w:t>
      </w:r>
      <w:r>
        <w:rPr>
          <w:b/>
          <w:sz w:val="24"/>
        </w:rPr>
        <w:t xml:space="preserve">(CE) </w:t>
      </w:r>
      <w:r>
        <w:rPr>
          <w:b/>
          <w:sz w:val="24"/>
        </w:rPr>
        <w:t xml:space="preserve">nº 1394/2007 (Reglamento UE n. 1235/2010 y Reglamento UE 2019/1243), y porque, </w:t>
      </w:r>
      <w:r>
        <w:rPr>
          <w:b/>
          <w:sz w:val="24"/>
        </w:rPr>
        <w:t xml:space="preserve">obviamente, </w:t>
      </w:r>
      <w:r>
        <w:rPr>
          <w:b/>
          <w:sz w:val="24"/>
        </w:rPr>
        <w:t xml:space="preserve">estos </w:t>
      </w:r>
      <w:r>
        <w:rPr>
          <w:b/>
          <w:sz w:val="24"/>
        </w:rPr>
        <w:t xml:space="preserve">considerandos </w:t>
      </w:r>
      <w:r>
        <w:rPr>
          <w:b/>
          <w:sz w:val="24"/>
        </w:rPr>
        <w:t xml:space="preserve">son </w:t>
      </w:r>
      <w:r>
        <w:rPr>
          <w:b/>
          <w:sz w:val="24"/>
        </w:rPr>
        <w:t xml:space="preserve">las </w:t>
      </w:r>
      <w:r>
        <w:rPr>
          <w:b/>
          <w:sz w:val="24"/>
        </w:rPr>
        <w:t xml:space="preserve">consideraciones </w:t>
      </w:r>
      <w:r>
        <w:rPr>
          <w:b/>
          <w:sz w:val="24"/>
        </w:rPr>
        <w:t xml:space="preserve">básicas </w:t>
      </w:r>
      <w:r>
        <w:rPr>
          <w:b/>
          <w:sz w:val="24"/>
        </w:rPr>
        <w:t xml:space="preserve">del </w:t>
      </w:r>
      <w:r>
        <w:rPr>
          <w:b/>
          <w:sz w:val="24"/>
        </w:rPr>
        <w:t xml:space="preserve">Legislador Europeo (Parlamento y Consejo) respecto a los medicamentos para terapias avanzadas.</w:t>
      </w:r>
    </w:p>
    <w:p>
      <w:pPr>
        <w:pStyle w:val="ListParagraph"/>
        <w:numPr>
          <w:ilvl w:val="0"/>
          <w:numId w:val="5"/>
        </w:numPr>
        <w:tabs>
          <w:tab w:val="left" w:leader="none" w:pos="822"/>
        </w:tabs>
        <w:spacing w:before="159" w:after="0" w:line="256" w:lineRule="auto"/>
        <w:ind w:start="821" w:end="127" w:hanging="360"/>
        <w:jc w:val="both"/>
        <w:rPr>
          <w:b/>
          <w:sz w:val="24"/>
        </w:rPr>
      </w:pPr>
      <w:r>
        <w:rPr>
          <w:b/>
          <w:sz w:val="24"/>
        </w:rPr>
        <w:t xml:space="preserve">Dado que las denominadas "vacunas Covid-19" de ARNm (Comirnaty de Pfizer/BioNTech y Spikevax de Moderna) tienen exactamente la función de un medicamento de terapia génica (el ARNm inoculado está destinado a hacer que la célula del cuerpo </w:t>
      </w:r>
      <w:r>
        <w:rPr>
          <w:b/>
          <w:sz w:val="24"/>
        </w:rPr>
        <w:t xml:space="preserve">produzca </w:t>
      </w:r>
      <w:r>
        <w:rPr>
          <w:b/>
          <w:sz w:val="24"/>
        </w:rPr>
        <w:t xml:space="preserve">la </w:t>
      </w:r>
      <w:r>
        <w:rPr>
          <w:b/>
          <w:sz w:val="24"/>
        </w:rPr>
        <w:t xml:space="preserve">proteína </w:t>
      </w:r>
      <w:r>
        <w:rPr>
          <w:b/>
          <w:sz w:val="24"/>
        </w:rPr>
        <w:t xml:space="preserve">Spike </w:t>
      </w:r>
      <w:r>
        <w:rPr>
          <w:b/>
          <w:sz w:val="24"/>
        </w:rPr>
        <w:t xml:space="preserve">y</w:t>
      </w:r>
      <w:r>
        <w:rPr>
          <w:b/>
          <w:sz w:val="24"/>
        </w:rPr>
        <w:t xml:space="preserve">, por tanto, a </w:t>
      </w:r>
      <w:r>
        <w:rPr>
          <w:b/>
          <w:sz w:val="24"/>
        </w:rPr>
        <w:t xml:space="preserve">desencadenar la </w:t>
      </w:r>
      <w:r>
        <w:rPr>
          <w:b/>
          <w:sz w:val="24"/>
        </w:rPr>
        <w:t xml:space="preserve">expresión </w:t>
      </w:r>
      <w:r>
        <w:rPr>
          <w:b/>
          <w:sz w:val="24"/>
        </w:rPr>
        <w:t xml:space="preserve">celular</w:t>
      </w:r>
      <w:r>
        <w:rPr>
          <w:b/>
          <w:sz w:val="24"/>
        </w:rPr>
        <w:t xml:space="preserve">), </w:t>
      </w:r>
      <w:r>
        <w:rPr>
          <w:b/>
          <w:sz w:val="24"/>
        </w:rPr>
        <w:t xml:space="preserve">y </w:t>
      </w:r>
      <w:r>
        <w:rPr>
          <w:b/>
          <w:sz w:val="24"/>
        </w:rPr>
        <w:t xml:space="preserve">aparte de que deberían haber sido sometidos en su totalidad a las disposiciones más restrictivas para los productos de terapia avanzada (ya que no tienen en realidad la función de las vacunas tradicionales para la prevención de enfermedades infecciosas), deberían (según lo previsto en el considerando 10 del Reg. CE nº 1394/2007) en todo caso haberse sometido a la evaluación del Comité de Terapias Avanzadas, ya que sólo este Comité, en el seno de la EMA, garantiza, o al menos debería garantizar, esa competencia específica que es necesaria para evaluar las sustancias que afectan a la fisiología celular por tener una función genética.</w:t>
      </w:r>
    </w:p>
    <w:p>
      <w:pPr>
        <w:pStyle w:val="ListParagraph"/>
        <w:numPr>
          <w:ilvl w:val="0"/>
          <w:numId w:val="5"/>
        </w:numPr>
        <w:tabs>
          <w:tab w:val="left" w:leader="none" w:pos="822"/>
        </w:tabs>
        <w:spacing w:before="172" w:after="0" w:line="256" w:lineRule="auto"/>
        <w:ind w:start="821" w:end="128" w:hanging="360"/>
        <w:jc w:val="both"/>
        <w:rPr>
          <w:sz w:val="24"/>
        </w:rPr>
      </w:pPr>
      <w:r>
        <w:rPr>
          <w:sz w:val="24"/>
        </w:rPr>
        <w:t xml:space="preserve">Independientemente de la necesidad de someter el Comirnaty de Pfizer/BioNTech y el Spikevax de Moderna, aunque se </w:t>
      </w:r>
      <w:r>
        <w:rPr>
          <w:sz w:val="24"/>
        </w:rPr>
        <w:t xml:space="preserve">denominen inapropiadamente "vacunas Covid-19", al </w:t>
      </w:r>
      <w:r>
        <w:rPr>
          <w:sz w:val="24"/>
        </w:rPr>
        <w:t xml:space="preserve">Comité </w:t>
      </w:r>
      <w:r>
        <w:rPr>
          <w:sz w:val="24"/>
        </w:rPr>
        <w:t xml:space="preserve">de </w:t>
      </w:r>
      <w:r>
        <w:rPr>
          <w:sz w:val="24"/>
        </w:rPr>
        <w:t xml:space="preserve">Productos de </w:t>
      </w:r>
      <w:r>
        <w:rPr>
          <w:sz w:val="24"/>
        </w:rPr>
        <w:t xml:space="preserve">Terapia </w:t>
      </w:r>
      <w:r>
        <w:rPr>
          <w:sz w:val="24"/>
        </w:rPr>
        <w:t xml:space="preserve">Avanzada </w:t>
      </w:r>
      <w:r>
        <w:rPr>
          <w:sz w:val="24"/>
        </w:rPr>
        <w:t xml:space="preserve">para su </w:t>
      </w:r>
      <w:r>
        <w:rPr>
          <w:sz w:val="24"/>
        </w:rPr>
        <w:t xml:space="preserve">evaluación</w:t>
      </w:r>
      <w:r>
        <w:rPr>
          <w:sz w:val="24"/>
        </w:rPr>
        <w:t xml:space="preserve">, </w:t>
      </w:r>
      <w:r>
        <w:rPr>
          <w:sz w:val="24"/>
        </w:rPr>
        <w:t xml:space="preserve">hay que </w:t>
      </w:r>
      <w:r>
        <w:rPr>
          <w:sz w:val="24"/>
        </w:rPr>
        <w:t xml:space="preserve">tener en cuenta que, en virtud del </w:t>
      </w:r>
      <w:r>
        <w:rPr>
          <w:rFonts w:ascii="Arial-BoldItalicMT" w:hAnsi="Arial-BoldItalicMT"/>
          <w:b/>
          <w:i/>
          <w:sz w:val="24"/>
        </w:rPr>
        <w:t xml:space="preserve">anexo I de la Directiva 2001/83/CE (Normas y protocolos analíticos, toxicológicos y clínicos en materia de pruebas de medicamentos), parte 3 (pruebas toxicológicas y farmacológicas), </w:t>
      </w:r>
      <w:r>
        <w:rPr>
          <w:sz w:val="24"/>
        </w:rPr>
        <w:t xml:space="preserve">el legislador comunitario ha previsto lo siguiente:</w:t>
      </w:r>
    </w:p>
    <w:p>
      <w:pPr>
        <w:spacing w:before="6" w:line="240" w:lineRule="auto"/>
        <w:rPr>
          <w:sz w:val="20"/>
        </w:rPr>
      </w:pPr>
    </w:p>
    <w:p>
      <w:pPr>
        <w:spacing w:before="0" w:line="259" w:lineRule="auto"/>
        <w:ind w:start="821" w:end="128" w:firstLine="12"/>
        <w:jc w:val="both"/>
        <w:rPr>
          <w:i/>
          <w:sz w:val="24"/>
        </w:rPr>
      </w:pPr>
      <w:r>
        <w:rPr>
          <w:i/>
          <w:sz w:val="24"/>
        </w:rPr>
        <w:t xml:space="preserve">"I. </w:t>
      </w:r>
      <w:r>
        <w:rPr>
          <w:i/>
          <w:sz w:val="24"/>
        </w:rPr>
        <w:t xml:space="preserve">Introducción. La información </w:t>
      </w:r>
      <w:r>
        <w:rPr>
          <w:i/>
          <w:sz w:val="24"/>
        </w:rPr>
        <w:t xml:space="preserve">y los </w:t>
      </w:r>
      <w:r>
        <w:rPr>
          <w:i/>
          <w:sz w:val="24"/>
        </w:rPr>
        <w:t xml:space="preserve">documentos que deben presentarse junto con la solicitud de autorización ... se facilitarán de acuerdo con los siguientes requisitos. </w:t>
      </w:r>
      <w:r>
        <w:rPr>
          <w:rFonts w:ascii="Arial-BoldItalicMT"/>
          <w:b/>
          <w:i/>
          <w:sz w:val="24"/>
        </w:rPr>
        <w:t xml:space="preserve">Los Estados </w:t>
      </w:r>
      <w:r>
        <w:rPr>
          <w:rFonts w:ascii="Arial-BoldItalicMT"/>
          <w:b/>
          <w:i/>
          <w:sz w:val="24"/>
        </w:rPr>
        <w:t xml:space="preserve">miembros </w:t>
      </w:r>
      <w:r>
        <w:rPr>
          <w:rFonts w:ascii="Arial-BoldItalicMT"/>
          <w:b/>
          <w:i/>
          <w:sz w:val="24"/>
        </w:rPr>
        <w:t xml:space="preserve">velarán </w:t>
      </w:r>
      <w:r>
        <w:rPr>
          <w:rFonts w:ascii="Arial-BoldItalicMT"/>
          <w:b/>
          <w:i/>
          <w:sz w:val="24"/>
        </w:rPr>
        <w:t xml:space="preserve">por que los </w:t>
      </w:r>
      <w:r>
        <w:rPr>
          <w:rFonts w:ascii="Arial-BoldItalicMT"/>
          <w:b/>
          <w:i/>
          <w:sz w:val="24"/>
        </w:rPr>
        <w:t xml:space="preserve">ensayos de </w:t>
      </w:r>
      <w:r>
        <w:rPr>
          <w:rFonts w:ascii="Arial-BoldItalicMT"/>
          <w:b/>
          <w:i/>
          <w:sz w:val="24"/>
        </w:rPr>
        <w:t xml:space="preserve">seguridad </w:t>
      </w:r>
      <w:r>
        <w:rPr>
          <w:rFonts w:ascii="Arial-BoldItalicMT"/>
          <w:b/>
          <w:i/>
          <w:sz w:val="24"/>
        </w:rPr>
        <w:t xml:space="preserve">se </w:t>
      </w:r>
      <w:r>
        <w:rPr>
          <w:rFonts w:ascii="Arial-BoldItalicMT"/>
          <w:b/>
          <w:i/>
          <w:sz w:val="24"/>
        </w:rPr>
        <w:t xml:space="preserve">realicen </w:t>
      </w:r>
      <w:r>
        <w:rPr>
          <w:rFonts w:ascii="Arial-BoldItalicMT"/>
          <w:b/>
          <w:i/>
          <w:sz w:val="24"/>
        </w:rPr>
        <w:t xml:space="preserve">de </w:t>
      </w:r>
      <w:r>
        <w:rPr>
          <w:rFonts w:ascii="Arial-BoldItalicMT"/>
          <w:b/>
          <w:i/>
          <w:sz w:val="24"/>
        </w:rPr>
        <w:t xml:space="preserve">acuerdo </w:t>
      </w:r>
      <w:r>
        <w:rPr>
          <w:rFonts w:ascii="Arial-BoldItalicMT"/>
          <w:b/>
          <w:i/>
          <w:sz w:val="24"/>
        </w:rPr>
        <w:t xml:space="preserve">con los </w:t>
      </w:r>
      <w:r>
        <w:rPr>
          <w:rFonts w:ascii="Arial-BoldItalicMT"/>
          <w:b/>
          <w:i/>
          <w:sz w:val="24"/>
        </w:rPr>
        <w:t xml:space="preserve">principios </w:t>
      </w:r>
      <w:r>
        <w:rPr>
          <w:rFonts w:ascii="Arial-BoldItalicMT"/>
          <w:b/>
          <w:i/>
          <w:sz w:val="24"/>
        </w:rPr>
        <w:t xml:space="preserve">de </w:t>
      </w:r>
      <w:r>
        <w:rPr>
          <w:rFonts w:ascii="Arial-BoldItalicMT"/>
          <w:b/>
          <w:i/>
          <w:sz w:val="24"/>
        </w:rPr>
        <w:t xml:space="preserve">buenas </w:t>
      </w:r>
      <w:r>
        <w:rPr>
          <w:rFonts w:ascii="Arial-BoldItalicMT"/>
          <w:b/>
          <w:i/>
          <w:sz w:val="24"/>
        </w:rPr>
        <w:t xml:space="preserve">prácticas de </w:t>
      </w:r>
      <w:r>
        <w:rPr>
          <w:rFonts w:ascii="Arial-BoldItalicMT"/>
          <w:b/>
          <w:i/>
          <w:sz w:val="24"/>
        </w:rPr>
        <w:t xml:space="preserve">laboratorio </w:t>
      </w:r>
      <w:r>
        <w:rPr>
          <w:rFonts w:ascii="Arial-BoldItalicMT"/>
          <w:b/>
          <w:i/>
          <w:sz w:val="24"/>
        </w:rPr>
        <w:t xml:space="preserve">establecidos </w:t>
      </w:r>
      <w:r>
        <w:rPr>
          <w:rFonts w:ascii="Arial-BoldItalicMT"/>
          <w:b/>
          <w:i/>
          <w:sz w:val="24"/>
        </w:rPr>
        <w:t xml:space="preserve">en </w:t>
      </w:r>
      <w:r>
        <w:rPr>
          <w:rFonts w:ascii="Arial-BoldItalicMT"/>
          <w:b/>
          <w:i/>
          <w:sz w:val="24"/>
        </w:rPr>
        <w:t xml:space="preserve">las Directivas 87/18/CEE y 88/320/CEE del Consejo</w:t>
      </w:r>
      <w:r>
        <w:rPr>
          <w:i/>
          <w:sz w:val="24"/>
        </w:rPr>
        <w:t xml:space="preserve">.</w:t>
      </w:r>
    </w:p>
    <w:p>
      <w:pPr>
        <w:spacing w:before="161"/>
        <w:ind w:start="821" w:end="0" w:firstLine="0"/>
        <w:jc w:val="both"/>
        <w:rPr>
          <w:i/>
          <w:sz w:val="24"/>
        </w:rPr>
      </w:pPr>
      <w:r>
        <w:rPr>
          <w:i/>
          <w:sz w:val="24"/>
        </w:rPr>
        <w:t xml:space="preserve">Las pruebas </w:t>
      </w:r>
      <w:r>
        <w:rPr>
          <w:i/>
          <w:sz w:val="24"/>
        </w:rPr>
        <w:t xml:space="preserve">toxicológicas </w:t>
      </w:r>
      <w:r>
        <w:rPr>
          <w:i/>
          <w:sz w:val="24"/>
        </w:rPr>
        <w:t xml:space="preserve">y </w:t>
      </w:r>
      <w:r>
        <w:rPr>
          <w:i/>
          <w:sz w:val="24"/>
        </w:rPr>
        <w:t xml:space="preserve">farmacológicas </w:t>
      </w:r>
      <w:r>
        <w:rPr>
          <w:i/>
          <w:sz w:val="24"/>
        </w:rPr>
        <w:t xml:space="preserve">deben </w:t>
      </w:r>
      <w:r>
        <w:rPr>
          <w:i/>
          <w:spacing w:val="-2"/>
          <w:sz w:val="24"/>
        </w:rPr>
        <w:t xml:space="preserve">demostrar:</w:t>
      </w:r>
    </w:p>
    <w:p>
      <w:pPr>
        <w:spacing w:after="0"/>
        <w:jc w:val="both"/>
        <w:rPr>
          <w:sz w:val="24"/>
        </w:rPr>
        <w:sectPr>
          <w:pgSz w:w="11900" w:h="16850"/>
          <w:pgMar w:top="1340" w:right="1000" w:bottom="800" w:left="1020" w:header="0" w:footer="605"/>
        </w:sectPr>
      </w:pPr>
    </w:p>
    <w:p>
      <w:pPr>
        <w:pStyle w:val="ListParagraph"/>
        <w:numPr>
          <w:ilvl w:val="1"/>
          <w:numId w:val="5"/>
        </w:numPr>
        <w:tabs>
          <w:tab w:val="left" w:leader="none" w:pos="1246"/>
        </w:tabs>
        <w:spacing w:before="78" w:after="0" w:line="259" w:lineRule="auto"/>
        <w:ind w:start="1246" w:end="129" w:hanging="360"/>
        <w:jc w:val="both"/>
        <w:rPr>
          <w:i/>
          <w:sz w:val="24"/>
        </w:rPr>
      </w:pPr>
      <w:r>
        <w:rPr>
          <w:i/>
          <w:sz w:val="24"/>
        </w:rPr>
        <w:t xml:space="preserve">Los límites de la toxicidad del producto, sus posibles efectos nocivos o indeseables en las condiciones de su uso previsto en el ser humano, </w:t>
      </w:r>
      <w:r>
        <w:rPr>
          <w:rFonts w:ascii="Arial-BoldItalicMT"/>
          <w:b/>
          <w:i/>
          <w:sz w:val="24"/>
        </w:rPr>
        <w:t xml:space="preserve">efectos que deben evaluarse en función del estado patológico</w:t>
      </w:r>
      <w:r>
        <w:rPr>
          <w:i/>
          <w:sz w:val="24"/>
        </w:rPr>
        <w:t xml:space="preserve">;</w:t>
      </w:r>
    </w:p>
    <w:p>
      <w:pPr>
        <w:pStyle w:val="ListParagraph"/>
        <w:numPr>
          <w:ilvl w:val="1"/>
          <w:numId w:val="5"/>
        </w:numPr>
        <w:tabs>
          <w:tab w:val="left" w:leader="none" w:pos="1246"/>
        </w:tabs>
        <w:spacing w:before="160" w:after="0" w:line="259" w:lineRule="auto"/>
        <w:ind w:start="1246" w:end="126" w:hanging="360"/>
        <w:jc w:val="both"/>
        <w:rPr>
          <w:i/>
          <w:sz w:val="24"/>
        </w:rPr>
      </w:pPr>
      <w:r>
        <w:rPr>
          <w:i/>
          <w:sz w:val="24"/>
        </w:rPr>
        <w:t xml:space="preserve">Las propiedades farmacológicas </w:t>
      </w:r>
      <w:r>
        <w:rPr>
          <w:i/>
          <w:sz w:val="24"/>
        </w:rPr>
        <w:t xml:space="preserve">del </w:t>
      </w:r>
      <w:r>
        <w:rPr>
          <w:i/>
          <w:sz w:val="24"/>
        </w:rPr>
        <w:t xml:space="preserve">producto </w:t>
      </w:r>
      <w:r>
        <w:rPr>
          <w:i/>
          <w:sz w:val="24"/>
        </w:rPr>
        <w:t xml:space="preserve">en </w:t>
      </w:r>
      <w:r>
        <w:rPr>
          <w:i/>
          <w:sz w:val="24"/>
        </w:rPr>
        <w:t xml:space="preserve">relación con su </w:t>
      </w:r>
      <w:r>
        <w:rPr>
          <w:i/>
          <w:sz w:val="24"/>
        </w:rPr>
        <w:t xml:space="preserve">uso prescrito en humanos en términos de dosis y actividad farmacológica. Todos los resultados deben ser fiables y aptos para su generalización. .....</w:t>
      </w:r>
    </w:p>
    <w:p>
      <w:pPr>
        <w:pStyle w:val="ListParagraph"/>
        <w:numPr>
          <w:ilvl w:val="0"/>
          <w:numId w:val="10"/>
        </w:numPr>
        <w:tabs>
          <w:tab w:val="left" w:leader="none" w:pos="1136"/>
        </w:tabs>
        <w:spacing w:before="159" w:after="0" w:line="259" w:lineRule="auto"/>
        <w:ind w:start="821" w:end="128" w:firstLine="0"/>
        <w:jc w:val="both"/>
        <w:rPr>
          <w:i/>
          <w:sz w:val="24"/>
        </w:rPr>
      </w:pPr>
      <w:r>
        <w:rPr>
          <w:i/>
          <w:sz w:val="24"/>
        </w:rPr>
        <w:t xml:space="preserve">En el caso de los medicamentos biológicos, como los medicamentos inmunológicos... los requisitos de esta parte se adaptarán, si es necesario, a cada uno de los productos: para ello, el solicitante deberá justificar el programa de pruebas </w:t>
      </w:r>
      <w:r>
        <w:rPr>
          <w:i/>
          <w:spacing w:val="-2"/>
          <w:sz w:val="24"/>
        </w:rPr>
        <w:t xml:space="preserve">realizado.</w:t>
      </w:r>
    </w:p>
    <w:p>
      <w:pPr>
        <w:spacing w:before="159"/>
        <w:ind w:start="821" w:end="0" w:firstLine="0"/>
        <w:jc w:val="left"/>
        <w:rPr>
          <w:i/>
          <w:sz w:val="24"/>
        </w:rPr>
      </w:pPr>
      <w:r>
        <w:rPr>
          <w:i/>
          <w:sz w:val="24"/>
        </w:rPr>
        <w:t xml:space="preserve">En la </w:t>
      </w:r>
      <w:r>
        <w:rPr>
          <w:i/>
          <w:sz w:val="24"/>
        </w:rPr>
        <w:t xml:space="preserve">definición de </w:t>
      </w:r>
      <w:r>
        <w:rPr>
          <w:i/>
          <w:sz w:val="24"/>
        </w:rPr>
        <w:t xml:space="preserve">este programa </w:t>
      </w:r>
      <w:r>
        <w:rPr>
          <w:i/>
          <w:sz w:val="24"/>
        </w:rPr>
        <w:t xml:space="preserve">se </w:t>
      </w:r>
      <w:r>
        <w:rPr>
          <w:i/>
          <w:sz w:val="24"/>
        </w:rPr>
        <w:t xml:space="preserve">tendrán </w:t>
      </w:r>
      <w:r>
        <w:rPr>
          <w:i/>
          <w:sz w:val="24"/>
        </w:rPr>
        <w:t xml:space="preserve">en </w:t>
      </w:r>
      <w:r>
        <w:rPr>
          <w:i/>
          <w:sz w:val="24"/>
        </w:rPr>
        <w:t xml:space="preserve">cuenta </w:t>
      </w:r>
      <w:r>
        <w:rPr>
          <w:i/>
          <w:sz w:val="24"/>
        </w:rPr>
        <w:t xml:space="preserve">los </w:t>
      </w:r>
      <w:r>
        <w:rPr>
          <w:i/>
          <w:sz w:val="24"/>
        </w:rPr>
        <w:t xml:space="preserve">siguientes </w:t>
      </w:r>
      <w:r>
        <w:rPr>
          <w:i/>
          <w:sz w:val="24"/>
        </w:rPr>
        <w:t xml:space="preserve">elementos</w:t>
      </w:r>
      <w:r>
        <w:rPr>
          <w:i/>
          <w:spacing w:val="-2"/>
          <w:sz w:val="24"/>
        </w:rPr>
        <w:t xml:space="preserve">:</w:t>
      </w:r>
    </w:p>
    <w:p>
      <w:pPr>
        <w:pStyle w:val="ListParagraph"/>
        <w:numPr>
          <w:ilvl w:val="1"/>
          <w:numId w:val="10"/>
        </w:numPr>
        <w:tabs>
          <w:tab w:val="left" w:leader="none" w:pos="1901"/>
          <w:tab w:val="left" w:leader="none" w:pos="1902"/>
        </w:tabs>
        <w:spacing w:before="200" w:after="0" w:line="256" w:lineRule="auto"/>
        <w:ind w:start="1901" w:end="129" w:hanging="360"/>
        <w:jc w:val="left"/>
        <w:rPr>
          <w:i/>
          <w:sz w:val="24"/>
        </w:rPr>
      </w:pPr>
      <w:r>
        <w:rPr>
          <w:i/>
          <w:sz w:val="24"/>
        </w:rPr>
        <w:t xml:space="preserve">Todas las </w:t>
      </w:r>
      <w:r>
        <w:rPr>
          <w:i/>
          <w:sz w:val="24"/>
        </w:rPr>
        <w:t xml:space="preserve">pruebas </w:t>
      </w:r>
      <w:r>
        <w:rPr>
          <w:i/>
          <w:sz w:val="24"/>
        </w:rPr>
        <w:t xml:space="preserve">para las </w:t>
      </w:r>
      <w:r>
        <w:rPr>
          <w:i/>
          <w:sz w:val="24"/>
        </w:rPr>
        <w:t xml:space="preserve">que </w:t>
      </w:r>
      <w:r>
        <w:rPr>
          <w:i/>
          <w:sz w:val="24"/>
        </w:rPr>
        <w:t xml:space="preserve">se </w:t>
      </w:r>
      <w:r>
        <w:rPr>
          <w:i/>
          <w:sz w:val="24"/>
        </w:rPr>
        <w:t xml:space="preserve">prevea </w:t>
      </w:r>
      <w:r>
        <w:rPr>
          <w:i/>
          <w:sz w:val="24"/>
        </w:rPr>
        <w:t xml:space="preserve">la </w:t>
      </w:r>
      <w:r>
        <w:rPr>
          <w:i/>
          <w:sz w:val="24"/>
        </w:rPr>
        <w:t xml:space="preserve">administración </w:t>
      </w:r>
      <w:r>
        <w:rPr>
          <w:i/>
          <w:sz w:val="24"/>
        </w:rPr>
        <w:t xml:space="preserve">repetida </w:t>
      </w:r>
      <w:r>
        <w:rPr>
          <w:i/>
          <w:sz w:val="24"/>
        </w:rPr>
        <w:t xml:space="preserve">del </w:t>
      </w:r>
      <w:r>
        <w:rPr>
          <w:i/>
          <w:sz w:val="24"/>
        </w:rPr>
        <w:t xml:space="preserve">producto </w:t>
      </w:r>
      <w:r>
        <w:rPr>
          <w:i/>
          <w:sz w:val="24"/>
        </w:rPr>
        <w:t xml:space="preserve">deben tener en cuenta la posible inducción o interferencia de anticuerpos;</w:t>
      </w:r>
    </w:p>
    <w:p>
      <w:pPr>
        <w:pStyle w:val="ListParagraph"/>
        <w:numPr>
          <w:ilvl w:val="1"/>
          <w:numId w:val="10"/>
        </w:numPr>
        <w:tabs>
          <w:tab w:val="left" w:leader="none" w:pos="1901"/>
          <w:tab w:val="left" w:leader="none" w:pos="1902"/>
        </w:tabs>
        <w:spacing w:before="180" w:after="0" w:line="259" w:lineRule="auto"/>
        <w:ind w:start="1901" w:end="129" w:hanging="360"/>
        <w:jc w:val="left"/>
        <w:rPr>
          <w:i/>
          <w:sz w:val="24"/>
        </w:rPr>
      </w:pPr>
      <w:r>
        <w:rPr>
          <w:i/>
          <w:sz w:val="24"/>
        </w:rPr>
        <w:t xml:space="preserve">La consideración </w:t>
      </w:r>
      <w:r>
        <w:rPr>
          <w:i/>
          <w:sz w:val="24"/>
        </w:rPr>
        <w:t xml:space="preserve">de la </w:t>
      </w:r>
      <w:r>
        <w:rPr>
          <w:i/>
          <w:sz w:val="24"/>
        </w:rPr>
        <w:t xml:space="preserve">función </w:t>
      </w:r>
      <w:r>
        <w:rPr>
          <w:i/>
          <w:sz w:val="24"/>
        </w:rPr>
        <w:t xml:space="preserve">reproductora</w:t>
      </w:r>
      <w:r>
        <w:rPr>
          <w:i/>
          <w:sz w:val="24"/>
        </w:rPr>
        <w:t xml:space="preserve">, la </w:t>
      </w:r>
      <w:r>
        <w:rPr>
          <w:i/>
          <w:sz w:val="24"/>
        </w:rPr>
        <w:t xml:space="preserve">toxicidad </w:t>
      </w:r>
      <w:r>
        <w:rPr>
          <w:i/>
          <w:sz w:val="24"/>
        </w:rPr>
        <w:t xml:space="preserve">embriofetal </w:t>
      </w:r>
      <w:r>
        <w:rPr>
          <w:i/>
          <w:sz w:val="24"/>
        </w:rPr>
        <w:t xml:space="preserve">y </w:t>
      </w:r>
      <w:r>
        <w:rPr>
          <w:i/>
          <w:sz w:val="24"/>
        </w:rPr>
        <w:t xml:space="preserve">perinatal</w:t>
      </w:r>
      <w:r>
        <w:rPr>
          <w:i/>
          <w:sz w:val="24"/>
        </w:rPr>
        <w:t xml:space="preserve">, el potencial mutagénico y carcinogénico ...</w:t>
      </w:r>
    </w:p>
    <w:p>
      <w:pPr>
        <w:pStyle w:val="BodyText"/>
        <w:spacing w:before="160" w:line="259" w:lineRule="auto"/>
        <w:ind w:start="821" w:end="128"/>
        <w:jc w:val="both"/>
      </w:pPr>
      <w:r>
        <w:rPr>
          <w:rFonts w:ascii="Arial"/>
          <w:b w:val="0"/>
        </w:rPr>
        <w:t xml:space="preserve">5. </w:t>
      </w:r>
      <w:r>
        <w:rPr>
          <w:u w:val="thick"/>
        </w:rPr>
        <w:t xml:space="preserve">Hay que examinar </w:t>
      </w:r>
      <w:r>
        <w:rPr>
          <w:u w:val="thick"/>
        </w:rPr>
        <w:t xml:space="preserve">la toxicidad y la farmoquinética de un ingrediente utilizado por primera vez en </w:t>
      </w:r>
      <w:r>
        <w:rPr>
          <w:u w:val="thick"/>
        </w:rPr>
        <w:t xml:space="preserve">los productos farmacéuticos.</w:t>
      </w:r>
    </w:p>
    <w:p>
      <w:pPr>
        <w:spacing w:before="159"/>
        <w:ind w:start="821" w:end="0" w:firstLine="0"/>
        <w:jc w:val="both"/>
        <w:rPr>
          <w:i/>
          <w:sz w:val="24"/>
        </w:rPr>
      </w:pPr>
      <w:r>
        <w:rPr>
          <w:i/>
          <w:sz w:val="24"/>
        </w:rPr>
        <w:t xml:space="preserve">II. </w:t>
      </w:r>
      <w:r>
        <w:rPr>
          <w:i/>
          <w:sz w:val="24"/>
        </w:rPr>
        <w:t xml:space="preserve">Realización </w:t>
      </w:r>
      <w:r>
        <w:rPr>
          <w:i/>
          <w:sz w:val="24"/>
        </w:rPr>
        <w:t xml:space="preserve">de </w:t>
      </w:r>
      <w:r>
        <w:rPr>
          <w:i/>
          <w:sz w:val="24"/>
        </w:rPr>
        <w:t xml:space="preserve">las </w:t>
      </w:r>
      <w:r>
        <w:rPr>
          <w:i/>
          <w:sz w:val="24"/>
        </w:rPr>
        <w:t xml:space="preserve">pruebas </w:t>
      </w:r>
      <w:r>
        <w:rPr>
          <w:i/>
          <w:sz w:val="24"/>
        </w:rPr>
        <w:t xml:space="preserve">A. </w:t>
      </w:r>
      <w:r>
        <w:rPr>
          <w:i/>
          <w:sz w:val="24"/>
        </w:rPr>
        <w:t xml:space="preserve">Toxicidad </w:t>
      </w:r>
      <w:r>
        <w:rPr>
          <w:i/>
          <w:spacing w:val="63"/>
          <w:w w:val="150"/>
          <w:sz w:val="24"/>
        </w:rPr>
        <w:t xml:space="preserve">2</w:t>
      </w:r>
      <w:r>
        <w:rPr>
          <w:i/>
          <w:sz w:val="24"/>
        </w:rPr>
        <w:t xml:space="preserve">. Toxicidad por </w:t>
      </w:r>
      <w:r>
        <w:rPr>
          <w:i/>
          <w:sz w:val="24"/>
        </w:rPr>
        <w:t xml:space="preserve">dosis </w:t>
      </w:r>
      <w:r>
        <w:rPr>
          <w:i/>
          <w:sz w:val="24"/>
        </w:rPr>
        <w:t xml:space="preserve">repetidas </w:t>
      </w:r>
      <w:r>
        <w:rPr>
          <w:i/>
          <w:sz w:val="24"/>
        </w:rPr>
        <w:t xml:space="preserve">("subaguda" </w:t>
      </w:r>
      <w:r>
        <w:rPr>
          <w:i/>
          <w:spacing w:val="-5"/>
          <w:sz w:val="24"/>
        </w:rPr>
        <w:t xml:space="preserve">y</w:t>
      </w:r>
    </w:p>
    <w:p>
      <w:pPr>
        <w:spacing w:before="22"/>
        <w:ind w:start="821" w:end="0" w:firstLine="0"/>
        <w:jc w:val="left"/>
        <w:rPr>
          <w:i/>
          <w:sz w:val="24"/>
        </w:rPr>
      </w:pPr>
      <w:r>
        <w:rPr>
          <w:i/>
          <w:spacing w:val="-2"/>
          <w:sz w:val="24"/>
        </w:rPr>
        <w:t xml:space="preserve">toxicidad </w:t>
      </w:r>
      <w:r>
        <w:rPr>
          <w:i/>
          <w:sz w:val="24"/>
        </w:rPr>
        <w:t xml:space="preserve">"crónica"</w:t>
      </w:r>
      <w:r>
        <w:rPr>
          <w:i/>
          <w:spacing w:val="-2"/>
          <w:sz w:val="24"/>
        </w:rPr>
        <w:t xml:space="preserve">)</w:t>
      </w:r>
    </w:p>
    <w:p>
      <w:pPr>
        <w:spacing w:before="180" w:line="259" w:lineRule="auto"/>
        <w:ind w:start="821" w:end="126" w:firstLine="0"/>
        <w:jc w:val="both"/>
        <w:rPr>
          <w:i/>
          <w:sz w:val="24"/>
        </w:rPr>
      </w:pPr>
      <w:r>
        <w:rPr>
          <w:i/>
          <w:sz w:val="24"/>
        </w:rPr>
        <w:t xml:space="preserve">Las pruebas de </w:t>
      </w:r>
      <w:r>
        <w:rPr>
          <w:i/>
          <w:sz w:val="24"/>
        </w:rPr>
        <w:t xml:space="preserve">toxicidad </w:t>
      </w:r>
      <w:r>
        <w:rPr>
          <w:i/>
          <w:sz w:val="24"/>
        </w:rPr>
        <w:t xml:space="preserve">a dosis repetidas </w:t>
      </w:r>
      <w:r>
        <w:rPr>
          <w:i/>
          <w:sz w:val="24"/>
        </w:rPr>
        <w:t xml:space="preserve">sirven </w:t>
      </w:r>
      <w:r>
        <w:rPr>
          <w:i/>
          <w:sz w:val="24"/>
        </w:rPr>
        <w:t xml:space="preserve">para </w:t>
      </w:r>
      <w:r>
        <w:rPr>
          <w:i/>
          <w:sz w:val="24"/>
        </w:rPr>
        <w:t xml:space="preserve">poner de manifiesto </w:t>
      </w:r>
      <w:r>
        <w:rPr>
          <w:i/>
          <w:sz w:val="24"/>
        </w:rPr>
        <w:t xml:space="preserve">los cambios </w:t>
      </w:r>
      <w:r>
        <w:rPr>
          <w:i/>
          <w:sz w:val="24"/>
        </w:rPr>
        <w:t xml:space="preserve">funcionales </w:t>
      </w:r>
      <w:r>
        <w:rPr>
          <w:i/>
          <w:sz w:val="24"/>
        </w:rPr>
        <w:t xml:space="preserve">y/o anatomo-patológicos tras la administración repetida de la sustancia .... En general, es útil que se realicen dos pruebas: una a medio plazo... y otra a largo plazo, cuya duración depende de las condiciones de aplicación clínica. ....</w:t>
      </w:r>
    </w:p>
    <w:p>
      <w:pPr>
        <w:spacing w:before="161"/>
        <w:ind w:start="821" w:end="0" w:firstLine="0"/>
        <w:jc w:val="both"/>
        <w:rPr>
          <w:i/>
          <w:sz w:val="24"/>
        </w:rPr>
      </w:pPr>
      <w:r>
        <w:rPr>
          <w:i/>
          <w:sz w:val="24"/>
        </w:rPr>
        <w:t xml:space="preserve">B. </w:t>
      </w:r>
      <w:r>
        <w:rPr>
          <w:i/>
          <w:sz w:val="24"/>
        </w:rPr>
        <w:t xml:space="preserve">Examen </w:t>
      </w:r>
      <w:r>
        <w:rPr>
          <w:i/>
          <w:sz w:val="24"/>
        </w:rPr>
        <w:t xml:space="preserve">de la </w:t>
      </w:r>
      <w:r>
        <w:rPr>
          <w:i/>
          <w:spacing w:val="-2"/>
          <w:sz w:val="24"/>
        </w:rPr>
        <w:t xml:space="preserve">función </w:t>
      </w:r>
      <w:r>
        <w:rPr>
          <w:i/>
          <w:sz w:val="24"/>
        </w:rPr>
        <w:t xml:space="preserve">reproductora</w:t>
      </w:r>
    </w:p>
    <w:p>
      <w:pPr>
        <w:spacing w:before="180" w:line="259" w:lineRule="auto"/>
        <w:ind w:start="821" w:end="129" w:firstLine="0"/>
        <w:jc w:val="both"/>
        <w:rPr>
          <w:i/>
          <w:sz w:val="24"/>
        </w:rPr>
      </w:pPr>
      <w:r>
        <w:rPr>
          <w:i/>
          <w:sz w:val="24"/>
        </w:rPr>
        <w:t xml:space="preserve">Si los resultados de los demás experimentos realizados revelan indicios de efectos nocivos para la descendencia o alteraciones de la fertilidad masculina o femenina, la función reproductora debe controlarse adecuadamente. ...</w:t>
      </w:r>
    </w:p>
    <w:p>
      <w:pPr>
        <w:pStyle w:val="BodyText"/>
        <w:spacing w:before="160"/>
        <w:ind w:start="821"/>
        <w:jc w:val="both"/>
      </w:pPr>
      <w:r>
        <w:rPr/>
        <w:t xml:space="preserve">D. </w:t>
      </w:r>
      <w:r>
        <w:rPr>
          <w:spacing w:val="-2"/>
        </w:rPr>
        <w:t xml:space="preserve">Poder </w:t>
      </w:r>
      <w:r>
        <w:rPr/>
        <w:t xml:space="preserve">mutagénico</w:t>
      </w:r>
    </w:p>
    <w:p>
      <w:pPr>
        <w:pStyle w:val="BodyText"/>
        <w:spacing w:before="182" w:line="259" w:lineRule="auto"/>
        <w:ind w:start="821" w:end="129"/>
        <w:jc w:val="both"/>
      </w:pPr>
      <w:r>
        <w:rPr/>
        <w:t xml:space="preserve">El estudio de la potencia mutagénica sirve para revelar los cambios producidos por una sustancia en el material genético de individuos o células con el efecto de hacer que sus sucesores sean permanente o hereditariamente diferentes de sus predecesores. </w:t>
      </w:r>
      <w:r>
        <w:rPr>
          <w:u w:val="thick"/>
        </w:rPr>
        <w:t xml:space="preserve">Este estudio es necesario para cualquier sustancia nueva</w:t>
      </w:r>
      <w:r>
        <w:rPr/>
        <w:t xml:space="preserve">.</w:t>
      </w:r>
    </w:p>
    <w:p>
      <w:pPr>
        <w:pStyle w:val="BodyText"/>
        <w:spacing w:before="160" w:line="259" w:lineRule="auto"/>
        <w:ind w:start="821" w:end="128"/>
        <w:jc w:val="both"/>
      </w:pPr>
      <w:r>
        <w:rPr/>
        <w:t xml:space="preserve">El número, los tipos y los criterios de evaluación de los resultados se determinarán </w:t>
      </w:r>
      <w:r>
        <w:rPr/>
        <w:t xml:space="preserve">teniendo </w:t>
      </w:r>
      <w:r>
        <w:rPr/>
        <w:t xml:space="preserve">en cuenta </w:t>
      </w:r>
      <w:r>
        <w:rPr/>
        <w:t xml:space="preserve">el </w:t>
      </w:r>
      <w:r>
        <w:rPr/>
        <w:t xml:space="preserve">estado </w:t>
      </w:r>
      <w:r>
        <w:rPr/>
        <w:t xml:space="preserve">de los </w:t>
      </w:r>
      <w:r>
        <w:rPr/>
        <w:t xml:space="preserve">conocimientos </w:t>
      </w:r>
      <w:r>
        <w:rPr/>
        <w:t xml:space="preserve">científicos </w:t>
      </w:r>
      <w:r>
        <w:rPr/>
        <w:t xml:space="preserve">en </w:t>
      </w:r>
      <w:r>
        <w:rPr/>
        <w:t xml:space="preserve">el </w:t>
      </w:r>
      <w:r>
        <w:rPr/>
        <w:t xml:space="preserve">momento </w:t>
      </w:r>
      <w:r>
        <w:rPr/>
        <w:t xml:space="preserve">de la </w:t>
      </w:r>
      <w:r>
        <w:rPr>
          <w:spacing w:val="-2"/>
        </w:rPr>
        <w:t xml:space="preserve">presentación."</w:t>
      </w:r>
    </w:p>
    <w:p>
      <w:pPr>
        <w:pStyle w:val="ListParagraph"/>
        <w:numPr>
          <w:ilvl w:val="0"/>
          <w:numId w:val="5"/>
        </w:numPr>
        <w:tabs>
          <w:tab w:val="left" w:leader="none" w:pos="822"/>
        </w:tabs>
        <w:spacing w:before="160" w:after="0" w:line="249" w:lineRule="auto"/>
        <w:ind w:start="821" w:end="126" w:hanging="360"/>
        <w:jc w:val="both"/>
        <w:rPr>
          <w:b/>
          <w:sz w:val="24"/>
        </w:rPr>
      </w:pPr>
      <w:r>
        <w:rPr>
          <w:b/>
          <w:sz w:val="24"/>
          <w:u w:val="thick"/>
        </w:rPr>
        <w:t xml:space="preserve">Del informe científico firmado por Michael Palmer, Sucharit Bhakdi y </w:t>
      </w:r>
      <w:r>
        <w:rPr>
          <w:b/>
          <w:sz w:val="24"/>
          <w:u w:val="thick"/>
        </w:rPr>
        <w:t xml:space="preserve">Wolfgang Wodarg (</w:t>
      </w:r>
      <w:r>
        <w:rPr>
          <w:rFonts w:ascii="Arial-BoldItalicMT" w:hAnsi="Arial-BoldItalicMT"/>
          <w:b/>
          <w:i/>
          <w:sz w:val="24"/>
          <w:u w:val="thick"/>
        </w:rPr>
        <w:t xml:space="preserve">Peritaje sobre los </w:t>
      </w:r>
      <w:r>
        <w:rPr>
          <w:rFonts w:ascii="Arial-BoldItalicMT" w:hAnsi="Arial-BoldItalicMT"/>
          <w:b/>
          <w:i/>
          <w:sz w:val="24"/>
          <w:u w:val="thick"/>
        </w:rPr>
        <w:t xml:space="preserve">riesgos </w:t>
      </w:r>
      <w:r>
        <w:rPr>
          <w:b/>
          <w:sz w:val="24"/>
          <w:u w:val="thick"/>
        </w:rPr>
        <w:t xml:space="preserve">genotóxicos </w:t>
      </w:r>
      <w:r>
        <w:rPr>
          <w:rFonts w:ascii="Arial-BoldItalicMT" w:hAnsi="Arial-BoldItalicMT"/>
          <w:b/>
          <w:i/>
          <w:sz w:val="24"/>
          <w:u w:val="thick"/>
        </w:rPr>
        <w:t xml:space="preserve">de la </w:t>
      </w:r>
      <w:r>
        <w:rPr>
          <w:rFonts w:ascii="Arial-BoldItalicMT" w:hAnsi="Arial-BoldItalicMT"/>
          <w:b/>
          <w:i/>
          <w:sz w:val="24"/>
          <w:u w:val="thick"/>
        </w:rPr>
        <w:t xml:space="preserve">vacuna </w:t>
      </w:r>
      <w:r>
        <w:rPr>
          <w:rFonts w:ascii="Arial-BoldItalicMT" w:hAnsi="Arial-BoldItalicMT"/>
          <w:b/>
          <w:i/>
          <w:sz w:val="24"/>
          <w:u w:val="thick"/>
        </w:rPr>
        <w:t xml:space="preserve">Covid-19 de Pfizer </w:t>
      </w:r>
      <w:r>
        <w:rPr>
          <w:sz w:val="24"/>
          <w:u w:val="thick"/>
        </w:rPr>
        <w:t xml:space="preserve">- </w:t>
      </w:r>
      <w:r>
        <w:rPr>
          <w:sz w:val="24"/>
          <w:u w:val="thick"/>
        </w:rPr>
        <w:t xml:space="preserve">anexo </w:t>
      </w:r>
      <w:r>
        <w:rPr>
          <w:sz w:val="24"/>
          <w:u w:val="thick"/>
        </w:rPr>
        <w:t xml:space="preserve">3), </w:t>
      </w:r>
      <w:r>
        <w:rPr>
          <w:b/>
          <w:sz w:val="24"/>
          <w:u w:val="thick"/>
        </w:rPr>
        <w:t xml:space="preserve">se </w:t>
      </w:r>
      <w:r>
        <w:rPr>
          <w:b/>
          <w:sz w:val="24"/>
          <w:u w:val="thick"/>
        </w:rPr>
        <w:t xml:space="preserve">desprende </w:t>
      </w:r>
      <w:r>
        <w:rPr>
          <w:b/>
          <w:sz w:val="24"/>
          <w:u w:val="thick"/>
        </w:rPr>
        <w:t xml:space="preserve">que </w:t>
      </w:r>
      <w:r>
        <w:rPr>
          <w:b/>
          <w:sz w:val="24"/>
          <w:u w:val="thick"/>
        </w:rPr>
        <w:t xml:space="preserve">había </w:t>
      </w:r>
      <w:r>
        <w:rPr>
          <w:b/>
          <w:sz w:val="24"/>
          <w:u w:val="thick"/>
        </w:rPr>
        <w:t xml:space="preserve">datos </w:t>
      </w:r>
      <w:r>
        <w:rPr>
          <w:b/>
          <w:sz w:val="24"/>
          <w:u w:val="thick"/>
        </w:rPr>
        <w:t xml:space="preserve">científicos </w:t>
      </w:r>
      <w:r>
        <w:rPr>
          <w:b/>
          <w:sz w:val="24"/>
          <w:u w:val="thick"/>
        </w:rPr>
        <w:t xml:space="preserve">muy </w:t>
      </w:r>
      <w:r>
        <w:rPr>
          <w:b/>
          <w:sz w:val="24"/>
          <w:u w:val="thick"/>
        </w:rPr>
        <w:t xml:space="preserve">claros</w:t>
      </w:r>
      <w:r>
        <w:rPr>
          <w:b/>
          <w:sz w:val="24"/>
          <w:u w:val="thick"/>
        </w:rPr>
        <w:t xml:space="preserve">,</w:t>
      </w:r>
    </w:p>
    <w:p>
      <w:pPr>
        <w:spacing w:after="0" w:line="249" w:lineRule="auto"/>
        <w:jc w:val="both"/>
        <w:rPr>
          <w:sz w:val="24"/>
        </w:rPr>
        <w:sectPr>
          <w:pgSz w:w="11900" w:h="16850"/>
          <w:pgMar w:top="1340" w:right="1000" w:bottom="800" w:left="1020" w:header="0" w:footer="605"/>
        </w:sectPr>
      </w:pPr>
    </w:p>
    <w:p>
      <w:pPr>
        <w:spacing w:before="78" w:line="259" w:lineRule="auto"/>
        <w:ind w:start="821" w:end="129" w:firstLine="0"/>
        <w:jc w:val="both"/>
        <w:rPr>
          <w:b/>
          <w:sz w:val="24"/>
        </w:rPr>
      </w:pPr>
      <w:r>
        <w:rPr>
          <w:b/>
          <w:sz w:val="24"/>
          <w:u w:val="thick"/>
        </w:rPr>
        <w:t xml:space="preserve">que ya </w:t>
      </w:r>
      <w:r>
        <w:rPr>
          <w:b/>
          <w:sz w:val="24"/>
          <w:u w:val="thick"/>
        </w:rPr>
        <w:t xml:space="preserve">se </w:t>
      </w:r>
      <w:r>
        <w:rPr>
          <w:b/>
          <w:sz w:val="24"/>
          <w:u w:val="thick"/>
        </w:rPr>
        <w:t xml:space="preserve">remonta a </w:t>
      </w:r>
      <w:r>
        <w:rPr>
          <w:b/>
          <w:sz w:val="24"/>
          <w:u w:val="thick"/>
        </w:rPr>
        <w:t xml:space="preserve">décadas </w:t>
      </w:r>
      <w:r>
        <w:rPr>
          <w:b/>
          <w:sz w:val="24"/>
          <w:u w:val="thick"/>
        </w:rPr>
        <w:t xml:space="preserve">atrás, </w:t>
      </w:r>
      <w:r>
        <w:rPr>
          <w:b/>
          <w:sz w:val="24"/>
          <w:u w:val="thick"/>
        </w:rPr>
        <w:t xml:space="preserve">que </w:t>
      </w:r>
      <w:r>
        <w:rPr>
          <w:b/>
          <w:sz w:val="24"/>
          <w:u w:val="thick"/>
        </w:rPr>
        <w:t xml:space="preserve">debería </w:t>
      </w:r>
      <w:r>
        <w:rPr>
          <w:b/>
          <w:sz w:val="24"/>
          <w:u w:val="thick"/>
        </w:rPr>
        <w:t xml:space="preserve">haber </w:t>
      </w:r>
      <w:r>
        <w:rPr>
          <w:b/>
          <w:sz w:val="24"/>
          <w:u w:val="thick"/>
        </w:rPr>
        <w:t xml:space="preserve">llevado </w:t>
      </w:r>
      <w:r>
        <w:rPr>
          <w:b/>
          <w:sz w:val="24"/>
          <w:u w:val="thick"/>
        </w:rPr>
        <w:t xml:space="preserve">a </w:t>
      </w:r>
      <w:r>
        <w:rPr>
          <w:b/>
          <w:sz w:val="24"/>
          <w:u w:val="thick"/>
        </w:rPr>
        <w:t xml:space="preserve">tomar en serio </w:t>
      </w:r>
      <w:r>
        <w:rPr>
          <w:b/>
          <w:sz w:val="24"/>
          <w:u w:val="thick"/>
        </w:rPr>
        <w:t xml:space="preserve">el </w:t>
      </w:r>
      <w:r>
        <w:rPr>
          <w:b/>
          <w:sz w:val="24"/>
          <w:u w:val="thick"/>
        </w:rPr>
        <w:t xml:space="preserve">riesgo </w:t>
      </w:r>
      <w:r>
        <w:rPr>
          <w:b/>
          <w:sz w:val="24"/>
          <w:u w:val="thick"/>
        </w:rPr>
        <w:t xml:space="preserve">de </w:t>
      </w:r>
      <w:r>
        <w:rPr>
          <w:b/>
          <w:sz w:val="24"/>
          <w:u w:val="thick"/>
        </w:rPr>
        <w:t xml:space="preserve">genotoxicidad </w:t>
      </w:r>
      <w:r>
        <w:rPr>
          <w:b/>
          <w:sz w:val="24"/>
          <w:u w:val="thick"/>
        </w:rPr>
        <w:t xml:space="preserve">de las llamadas "vacunas" de ARNm Covid-19 </w:t>
      </w:r>
      <w:r>
        <w:rPr>
          <w:b/>
          <w:sz w:val="24"/>
          <w:u w:val="thick"/>
        </w:rPr>
        <w:t xml:space="preserve">(</w:t>
      </w:r>
      <w:r>
        <w:rPr>
          <w:b/>
          <w:sz w:val="24"/>
          <w:u w:val="thick"/>
        </w:rPr>
        <w:t xml:space="preserve">como </w:t>
      </w:r>
      <w:r>
        <w:rPr>
          <w:b/>
          <w:sz w:val="24"/>
          <w:u w:val="thick"/>
        </w:rPr>
        <w:t xml:space="preserve">Comirnaty </w:t>
      </w:r>
      <w:r>
        <w:rPr>
          <w:b/>
          <w:sz w:val="24"/>
          <w:u w:val="thick"/>
        </w:rPr>
        <w:t xml:space="preserve">de Pfizer/BioNTech </w:t>
      </w:r>
      <w:r>
        <w:rPr>
          <w:b/>
          <w:sz w:val="24"/>
          <w:u w:val="thick"/>
        </w:rPr>
        <w:t xml:space="preserve">y Spikevax de Moderna).</w:t>
      </w:r>
    </w:p>
    <w:p>
      <w:pPr>
        <w:spacing w:before="160"/>
        <w:ind w:start="821" w:end="0" w:firstLine="0"/>
        <w:jc w:val="both"/>
        <w:rPr>
          <w:sz w:val="24"/>
        </w:rPr>
      </w:pPr>
      <w:r>
        <w:rPr>
          <w:sz w:val="24"/>
        </w:rPr>
        <w:t xml:space="preserve">El </w:t>
      </w:r>
      <w:r>
        <w:rPr>
          <w:sz w:val="24"/>
        </w:rPr>
        <w:t xml:space="preserve">dictamen </w:t>
      </w:r>
      <w:r>
        <w:rPr>
          <w:sz w:val="24"/>
        </w:rPr>
        <w:t xml:space="preserve">científico </w:t>
      </w:r>
      <w:r>
        <w:rPr>
          <w:sz w:val="24"/>
        </w:rPr>
        <w:t xml:space="preserve">de </w:t>
      </w:r>
      <w:r>
        <w:rPr>
          <w:sz w:val="24"/>
        </w:rPr>
        <w:t xml:space="preserve">los </w:t>
      </w:r>
      <w:r>
        <w:rPr>
          <w:sz w:val="24"/>
        </w:rPr>
        <w:t xml:space="preserve">expertos </w:t>
      </w:r>
      <w:r>
        <w:rPr>
          <w:sz w:val="24"/>
        </w:rPr>
        <w:t xml:space="preserve">dice </w:t>
      </w:r>
      <w:r>
        <w:rPr>
          <w:spacing w:val="-2"/>
          <w:sz w:val="24"/>
        </w:rPr>
        <w:t xml:space="preserve">textualmente</w:t>
      </w:r>
    </w:p>
    <w:p>
      <w:pPr>
        <w:pStyle w:val="BodyText"/>
        <w:spacing w:before="182" w:line="259" w:lineRule="auto"/>
        <w:ind w:start="821" w:end="129"/>
        <w:jc w:val="both"/>
      </w:pPr>
      <w:r>
        <w:rPr/>
        <w:t xml:space="preserve">"1. </w:t>
      </w:r>
      <w:r>
        <w:rPr/>
        <w:t xml:space="preserve">La EMA </w:t>
      </w:r>
      <w:r>
        <w:rPr/>
        <w:t xml:space="preserve">descartó </w:t>
      </w:r>
      <w:r>
        <w:rPr/>
        <w:t xml:space="preserve">los </w:t>
      </w:r>
      <w:r>
        <w:rPr/>
        <w:t xml:space="preserve">riesgos de </w:t>
      </w:r>
      <w:r>
        <w:rPr/>
        <w:t xml:space="preserve">genotoxicidad </w:t>
      </w:r>
      <w:r>
        <w:rPr/>
        <w:t xml:space="preserve">de </w:t>
      </w:r>
      <w:r>
        <w:rPr/>
        <w:t xml:space="preserve">la </w:t>
      </w:r>
      <w:r>
        <w:rPr/>
        <w:t xml:space="preserve">vacuna </w:t>
      </w:r>
      <w:r>
        <w:rPr/>
        <w:t xml:space="preserve">COVID-19 </w:t>
      </w:r>
      <w:r>
        <w:rPr/>
        <w:t xml:space="preserve">de Pfizer basándose </w:t>
      </w:r>
      <w:r>
        <w:rPr/>
        <w:t xml:space="preserve">en datos científicos obsoletos</w:t>
      </w:r>
    </w:p>
    <w:p>
      <w:pPr>
        <w:pStyle w:val="BodyText"/>
        <w:spacing w:before="158" w:line="259" w:lineRule="auto"/>
        <w:ind w:start="821" w:end="129"/>
        <w:jc w:val="both"/>
      </w:pPr>
      <w:r>
        <w:rPr/>
        <w:t xml:space="preserve">En el informe de evaluación de la EMA sobre la vacuna COVID-19 de Pfizer, encontramos la siguiente declaración sucinta (1, p.50):</w:t>
      </w:r>
    </w:p>
    <w:p>
      <w:pPr>
        <w:spacing w:before="159" w:line="259" w:lineRule="auto"/>
        <w:ind w:start="821" w:end="130" w:firstLine="0"/>
        <w:jc w:val="both"/>
        <w:rPr>
          <w:i/>
          <w:sz w:val="24"/>
        </w:rPr>
      </w:pPr>
      <w:r>
        <w:rPr>
          <w:i/>
          <w:sz w:val="24"/>
        </w:rPr>
        <w:t xml:space="preserve">No se han proporcionado estudios de genotoxicidad. Esto es aceptable ya que los componentes de </w:t>
      </w:r>
      <w:r>
        <w:rPr>
          <w:i/>
          <w:sz w:val="24"/>
        </w:rPr>
        <w:t xml:space="preserve">la </w:t>
      </w:r>
      <w:r>
        <w:rPr>
          <w:i/>
          <w:sz w:val="24"/>
        </w:rPr>
        <w:t xml:space="preserve">formulación de </w:t>
      </w:r>
      <w:r>
        <w:rPr>
          <w:i/>
          <w:sz w:val="24"/>
        </w:rPr>
        <w:t xml:space="preserve">la vacuna </w:t>
      </w:r>
      <w:r>
        <w:rPr>
          <w:i/>
          <w:sz w:val="24"/>
        </w:rPr>
        <w:t xml:space="preserve">son </w:t>
      </w:r>
      <w:r>
        <w:rPr>
          <w:i/>
          <w:sz w:val="24"/>
        </w:rPr>
        <w:t xml:space="preserve">lípidos </w:t>
      </w:r>
      <w:r>
        <w:rPr>
          <w:i/>
          <w:sz w:val="24"/>
        </w:rPr>
        <w:t xml:space="preserve">y </w:t>
      </w:r>
      <w:r>
        <w:rPr>
          <w:i/>
          <w:sz w:val="24"/>
        </w:rPr>
        <w:t xml:space="preserve">ARN </w:t>
      </w:r>
      <w:r>
        <w:rPr>
          <w:i/>
          <w:sz w:val="24"/>
        </w:rPr>
        <w:t xml:space="preserve">que </w:t>
      </w:r>
      <w:r>
        <w:rPr>
          <w:i/>
          <w:sz w:val="24"/>
        </w:rPr>
        <w:t xml:space="preserve">no </w:t>
      </w:r>
      <w:r>
        <w:rPr>
          <w:i/>
          <w:sz w:val="24"/>
        </w:rPr>
        <w:t xml:space="preserve">se </w:t>
      </w:r>
      <w:r>
        <w:rPr>
          <w:i/>
          <w:sz w:val="24"/>
        </w:rPr>
        <w:t xml:space="preserve">espera </w:t>
      </w:r>
      <w:r>
        <w:rPr>
          <w:i/>
          <w:sz w:val="24"/>
        </w:rPr>
        <w:t xml:space="preserve">que </w:t>
      </w:r>
      <w:r>
        <w:rPr>
          <w:i/>
          <w:sz w:val="24"/>
        </w:rPr>
        <w:t xml:space="preserve">tengan </w:t>
      </w:r>
      <w:r>
        <w:rPr>
          <w:i/>
          <w:spacing w:val="-2"/>
          <w:sz w:val="24"/>
        </w:rPr>
        <w:t xml:space="preserve">potencial </w:t>
      </w:r>
      <w:r>
        <w:rPr>
          <w:i/>
          <w:sz w:val="24"/>
        </w:rPr>
        <w:t xml:space="preserve">genotóxico</w:t>
      </w:r>
      <w:r>
        <w:rPr>
          <w:i/>
          <w:spacing w:val="-2"/>
          <w:sz w:val="24"/>
        </w:rPr>
        <w:t xml:space="preserve">.</w:t>
      </w:r>
    </w:p>
    <w:p>
      <w:pPr>
        <w:pStyle w:val="BodyText"/>
        <w:spacing w:before="160" w:line="259" w:lineRule="auto"/>
        <w:ind w:start="821" w:end="128"/>
        <w:jc w:val="both"/>
      </w:pPr>
      <w:r>
        <w:rPr/>
        <w:t xml:space="preserve">Al parecer, los expertos de la EMA partían de la base de que el ARN en general no afecta a la integridad del genoma de la célula huésped. La </w:t>
      </w:r>
      <w:r>
        <w:rPr/>
        <w:t xml:space="preserve">primera excepción a esta regla se conoce </w:t>
      </w:r>
      <w:r>
        <w:rPr/>
        <w:t xml:space="preserve">desde </w:t>
      </w:r>
      <w:r>
        <w:rPr/>
        <w:t xml:space="preserve">1970, </w:t>
      </w:r>
      <w:r>
        <w:rPr/>
        <w:t xml:space="preserve">cuando </w:t>
      </w:r>
      <w:r>
        <w:rPr/>
        <w:t xml:space="preserve">se </w:t>
      </w:r>
      <w:r>
        <w:rPr/>
        <w:t xml:space="preserve">descubrió </w:t>
      </w:r>
      <w:r>
        <w:rPr/>
        <w:t xml:space="preserve">que </w:t>
      </w:r>
      <w:r>
        <w:rPr/>
        <w:t xml:space="preserve">los retrovirus on</w:t>
      </w:r>
      <w:r>
        <w:rPr/>
        <w:t xml:space="preserve">cogénicos </w:t>
      </w:r>
      <w:r>
        <w:rPr/>
        <w:t xml:space="preserve">son portadores de </w:t>
      </w:r>
      <w:r>
        <w:rPr/>
        <w:t xml:space="preserve">una actividad de transcriptasa inversa </w:t>
      </w:r>
      <w:r>
        <w:rPr/>
        <w:t xml:space="preserve">que podía copiar el genoma de ARN viral en ADN, que luego podía insertarse en el genoma del huésped. La constatación de que las propias células eucariotas tienen actividades de transcriptasa inversa similares se produjo una década y media después, pero difícilmente podría considerarse una novedad en 2020.</w:t>
      </w:r>
    </w:p>
    <w:p>
      <w:pPr>
        <w:pStyle w:val="BodyText"/>
        <w:spacing w:before="160" w:line="259" w:lineRule="auto"/>
        <w:ind w:start="821" w:end="128"/>
        <w:jc w:val="both"/>
      </w:pPr>
      <w:r>
        <w:rPr/>
        <w:t xml:space="preserve">... 1.4 Resumen. Aunque todavía no se había demostrado experimentalmente cuando la EMA publicó su informe de evaluación, existían amplios precedentes que sugerían la fuerte posibilidad de que se produjeran copias de ADN del ARNm de la vacuna y se insertaran en el genoma celular. En lugar de </w:t>
      </w:r>
      <w:r>
        <w:rPr/>
        <w:t xml:space="preserve">ignorar </w:t>
      </w:r>
      <w:r>
        <w:rPr/>
        <w:t xml:space="preserve">este </w:t>
      </w:r>
      <w:r>
        <w:rPr/>
        <w:t xml:space="preserve">riesgo </w:t>
      </w:r>
      <w:r>
        <w:rPr/>
        <w:t xml:space="preserve">como </w:t>
      </w:r>
      <w:r>
        <w:rPr/>
        <w:t xml:space="preserve">lo hizo, </w:t>
      </w:r>
      <w:r>
        <w:rPr/>
        <w:t xml:space="preserve">la EMA </w:t>
      </w:r>
      <w:r>
        <w:rPr/>
        <w:t xml:space="preserve">debería </w:t>
      </w:r>
      <w:r>
        <w:rPr/>
        <w:t xml:space="preserve">haber </w:t>
      </w:r>
      <w:r>
        <w:rPr/>
        <w:t xml:space="preserve">obligado a </w:t>
      </w:r>
      <w:r>
        <w:rPr/>
        <w:t xml:space="preserve">Pfizer </w:t>
      </w:r>
      <w:r>
        <w:rPr/>
        <w:t xml:space="preserve">a </w:t>
      </w:r>
      <w:r>
        <w:rPr/>
        <w:t xml:space="preserve">realizar </w:t>
      </w:r>
      <w:r>
        <w:rPr/>
        <w:t xml:space="preserve">los estudios necesarios para excluir el riesgo antes de dar luz verde a la autorización.</w:t>
      </w:r>
    </w:p>
    <w:p>
      <w:pPr>
        <w:pStyle w:val="ListParagraph"/>
        <w:numPr>
          <w:ilvl w:val="0"/>
          <w:numId w:val="11"/>
        </w:numPr>
        <w:tabs>
          <w:tab w:val="left" w:leader="none" w:pos="1609"/>
        </w:tabs>
        <w:spacing w:before="159" w:after="0" w:line="240" w:lineRule="auto"/>
        <w:ind w:start="1608" w:end="0" w:hanging="361"/>
        <w:jc w:val="left"/>
        <w:rPr>
          <w:rFonts w:ascii="Arial-BoldItalicMT"/>
          <w:b/>
          <w:i/>
          <w:sz w:val="24"/>
        </w:rPr>
      </w:pPr>
      <w:r>
        <w:rPr>
          <w:rFonts w:ascii="Arial-BoldItalicMT"/>
          <w:b/>
          <w:i/>
          <w:sz w:val="24"/>
        </w:rPr>
        <w:t xml:space="preserve">El </w:t>
      </w:r>
      <w:r>
        <w:rPr>
          <w:rFonts w:ascii="Arial-BoldItalicMT"/>
          <w:b/>
          <w:i/>
          <w:sz w:val="24"/>
        </w:rPr>
        <w:t xml:space="preserve">estado </w:t>
      </w:r>
      <w:r>
        <w:rPr>
          <w:rFonts w:ascii="Arial-BoldItalicMT"/>
          <w:b/>
          <w:i/>
          <w:sz w:val="24"/>
        </w:rPr>
        <w:t xml:space="preserve">actual </w:t>
      </w:r>
      <w:r>
        <w:rPr>
          <w:rFonts w:ascii="Arial-BoldItalicMT"/>
          <w:b/>
          <w:i/>
          <w:sz w:val="24"/>
        </w:rPr>
        <w:t xml:space="preserve">de </w:t>
      </w:r>
      <w:r>
        <w:rPr>
          <w:rFonts w:ascii="Arial-BoldItalicMT"/>
          <w:b/>
          <w:i/>
          <w:sz w:val="24"/>
        </w:rPr>
        <w:t xml:space="preserve">las </w:t>
      </w:r>
      <w:r>
        <w:rPr>
          <w:rFonts w:ascii="Arial-BoldItalicMT"/>
          <w:b/>
          <w:i/>
          <w:spacing w:val="-2"/>
          <w:sz w:val="24"/>
        </w:rPr>
        <w:t xml:space="preserve">pruebas</w:t>
      </w:r>
    </w:p>
    <w:p>
      <w:pPr>
        <w:pStyle w:val="BodyText"/>
        <w:spacing w:before="182" w:line="259" w:lineRule="auto"/>
        <w:ind w:start="1106" w:end="50"/>
      </w:pPr>
      <w:r>
        <w:rPr/>
        <w:t xml:space="preserve">En el momento de escribir este artículo, se </w:t>
      </w:r>
      <w:r>
        <w:rPr/>
        <w:t xml:space="preserve">han acumulado </w:t>
      </w:r>
      <w:r>
        <w:rPr/>
        <w:t xml:space="preserve">nuevas </w:t>
      </w:r>
      <w:r>
        <w:rPr/>
        <w:t xml:space="preserve">pruebas </w:t>
      </w:r>
      <w:r>
        <w:rPr/>
        <w:t xml:space="preserve">sustanciales </w:t>
      </w:r>
      <w:r>
        <w:rPr/>
        <w:t xml:space="preserve">sobre los riesgos genéticos que plantea la vacuna COVID-19 de Pfizer.</w:t>
      </w:r>
    </w:p>
    <w:p>
      <w:pPr>
        <w:pStyle w:val="ListParagraph"/>
        <w:numPr>
          <w:ilvl w:val="1"/>
          <w:numId w:val="11"/>
        </w:numPr>
        <w:tabs>
          <w:tab w:val="left" w:leader="none" w:pos="1674"/>
        </w:tabs>
        <w:spacing w:before="158" w:after="0" w:line="259" w:lineRule="auto"/>
        <w:ind w:start="1673" w:end="128" w:hanging="720"/>
        <w:jc w:val="both"/>
        <w:rPr>
          <w:rFonts w:ascii="Arial-BoldItalicMT"/>
          <w:b/>
          <w:i/>
          <w:sz w:val="24"/>
        </w:rPr>
      </w:pPr>
      <w:r>
        <w:rPr>
          <w:rFonts w:ascii="Arial-BoldItalicMT"/>
          <w:b/>
          <w:i/>
          <w:sz w:val="24"/>
        </w:rPr>
        <w:t xml:space="preserve">Las copias </w:t>
      </w:r>
      <w:r>
        <w:rPr>
          <w:rFonts w:ascii="Arial-BoldItalicMT"/>
          <w:b/>
          <w:i/>
          <w:sz w:val="24"/>
        </w:rPr>
        <w:t xml:space="preserve">de ADN </w:t>
      </w:r>
      <w:r>
        <w:rPr>
          <w:rFonts w:ascii="Arial-BoldItalicMT"/>
          <w:b/>
          <w:i/>
          <w:sz w:val="24"/>
        </w:rPr>
        <w:t xml:space="preserve">del </w:t>
      </w:r>
      <w:r>
        <w:rPr>
          <w:rFonts w:ascii="Arial-BoldItalicMT"/>
          <w:b/>
          <w:i/>
          <w:sz w:val="24"/>
        </w:rPr>
        <w:t xml:space="preserve">ARNm de </w:t>
      </w:r>
      <w:r>
        <w:rPr>
          <w:rFonts w:ascii="Arial-BoldItalicMT"/>
          <w:b/>
          <w:i/>
          <w:sz w:val="24"/>
        </w:rPr>
        <w:t xml:space="preserve">la vacuna </w:t>
      </w:r>
      <w:r>
        <w:rPr>
          <w:rFonts w:ascii="Arial-BoldItalicMT"/>
          <w:b/>
          <w:i/>
          <w:sz w:val="24"/>
        </w:rPr>
        <w:t xml:space="preserve">COVID-19 </w:t>
      </w:r>
      <w:r>
        <w:rPr>
          <w:rFonts w:ascii="Arial-BoldItalicMT"/>
          <w:b/>
          <w:i/>
          <w:sz w:val="24"/>
        </w:rPr>
        <w:t xml:space="preserve">de Pfizer </w:t>
      </w:r>
      <w:r>
        <w:rPr>
          <w:rFonts w:ascii="Arial-BoldItalicMT"/>
          <w:b/>
          <w:i/>
          <w:sz w:val="24"/>
        </w:rPr>
        <w:t xml:space="preserve">se insertan </w:t>
      </w:r>
      <w:r>
        <w:rPr>
          <w:rFonts w:ascii="Arial-BoldItalicMT"/>
          <w:b/>
          <w:i/>
          <w:sz w:val="24"/>
        </w:rPr>
        <w:t xml:space="preserve">en </w:t>
      </w:r>
      <w:r>
        <w:rPr>
          <w:rFonts w:ascii="Arial-BoldItalicMT"/>
          <w:b/>
          <w:i/>
          <w:sz w:val="24"/>
        </w:rPr>
        <w:t xml:space="preserve">el genoma de la </w:t>
      </w:r>
      <w:r>
        <w:rPr>
          <w:rFonts w:ascii="Arial-BoldItalicMT"/>
          <w:b/>
          <w:i/>
          <w:sz w:val="24"/>
        </w:rPr>
        <w:t xml:space="preserve">célula huésped</w:t>
      </w:r>
      <w:r>
        <w:rPr>
          <w:rFonts w:ascii="Arial-BoldItalicMT"/>
          <w:b/>
          <w:i/>
          <w:sz w:val="24"/>
        </w:rPr>
        <w:t xml:space="preserve">. </w:t>
      </w:r>
      <w:r>
        <w:rPr>
          <w:rFonts w:ascii="Arial-BoldItalicMT"/>
          <w:b/>
          <w:i/>
          <w:sz w:val="24"/>
        </w:rPr>
        <w:t xml:space="preserve">Ya </w:t>
      </w:r>
      <w:r>
        <w:rPr>
          <w:rFonts w:ascii="Arial-BoldItalicMT"/>
          <w:b/>
          <w:i/>
          <w:sz w:val="24"/>
        </w:rPr>
        <w:t xml:space="preserve">en </w:t>
      </w:r>
      <w:r>
        <w:rPr>
          <w:rFonts w:ascii="Arial-BoldItalicMT"/>
          <w:b/>
          <w:i/>
          <w:sz w:val="24"/>
        </w:rPr>
        <w:t xml:space="preserve">2021 </w:t>
      </w:r>
      <w:r>
        <w:rPr>
          <w:rFonts w:ascii="Arial-BoldItalicMT"/>
          <w:b/>
          <w:i/>
          <w:sz w:val="24"/>
        </w:rPr>
        <w:t xml:space="preserve">se </w:t>
      </w:r>
      <w:r>
        <w:rPr>
          <w:rFonts w:ascii="Arial-BoldItalicMT"/>
          <w:b/>
          <w:i/>
          <w:sz w:val="24"/>
        </w:rPr>
        <w:t xml:space="preserve">demostró </w:t>
      </w:r>
      <w:r>
        <w:rPr>
          <w:rFonts w:ascii="Arial-BoldItalicMT"/>
          <w:b/>
          <w:i/>
          <w:sz w:val="24"/>
        </w:rPr>
        <w:t xml:space="preserve">que copias </w:t>
      </w:r>
      <w:r>
        <w:rPr>
          <w:rFonts w:ascii="Arial-BoldItalicMT"/>
          <w:b/>
          <w:i/>
          <w:sz w:val="24"/>
        </w:rPr>
        <w:t xml:space="preserve">parciales </w:t>
      </w:r>
      <w:r>
        <w:rPr>
          <w:rFonts w:ascii="Arial-BoldItalicMT"/>
          <w:b/>
          <w:i/>
          <w:sz w:val="24"/>
        </w:rPr>
        <w:t xml:space="preserve">de </w:t>
      </w:r>
      <w:r>
        <w:rPr>
          <w:rFonts w:ascii="Arial-BoldItalicMT"/>
          <w:b/>
          <w:i/>
          <w:sz w:val="24"/>
        </w:rPr>
        <w:t xml:space="preserve">ADN </w:t>
      </w:r>
      <w:r>
        <w:rPr>
          <w:rFonts w:ascii="Arial-BoldItalicMT"/>
          <w:b/>
          <w:i/>
          <w:sz w:val="24"/>
        </w:rPr>
        <w:t xml:space="preserve">del </w:t>
      </w:r>
      <w:r>
        <w:rPr>
          <w:rFonts w:ascii="Arial-BoldItalicMT"/>
          <w:b/>
          <w:i/>
          <w:sz w:val="24"/>
        </w:rPr>
        <w:t xml:space="preserve">ARN </w:t>
      </w:r>
      <w:r>
        <w:rPr>
          <w:rFonts w:ascii="Arial-BoldItalicMT"/>
          <w:b/>
          <w:i/>
          <w:sz w:val="24"/>
        </w:rPr>
        <w:t xml:space="preserve">genómico </w:t>
      </w:r>
      <w:r>
        <w:rPr>
          <w:rFonts w:ascii="Arial-BoldItalicMT"/>
          <w:b/>
          <w:i/>
          <w:sz w:val="24"/>
        </w:rPr>
        <w:t xml:space="preserve">del </w:t>
      </w:r>
      <w:r>
        <w:rPr>
          <w:rFonts w:ascii="Arial-BoldItalicMT"/>
          <w:b/>
          <w:i/>
          <w:sz w:val="24"/>
        </w:rPr>
        <w:t xml:space="preserve">virus </w:t>
      </w:r>
      <w:r>
        <w:rPr>
          <w:rFonts w:ascii="Arial-BoldItalicMT"/>
          <w:b/>
          <w:i/>
          <w:sz w:val="24"/>
        </w:rPr>
        <w:t xml:space="preserve">del SARS-CoV-2 </w:t>
      </w:r>
      <w:r>
        <w:rPr>
          <w:rFonts w:ascii="Arial-BoldItalicMT"/>
          <w:b/>
          <w:i/>
          <w:sz w:val="24"/>
        </w:rPr>
        <w:t xml:space="preserve">pueden </w:t>
      </w:r>
      <w:r>
        <w:rPr>
          <w:rFonts w:ascii="Arial-BoldItalicMT"/>
          <w:b/>
          <w:i/>
          <w:sz w:val="24"/>
        </w:rPr>
        <w:t xml:space="preserve">insertarse </w:t>
      </w:r>
      <w:r>
        <w:rPr>
          <w:rFonts w:ascii="Arial-BoldItalicMT"/>
          <w:b/>
          <w:i/>
          <w:sz w:val="24"/>
        </w:rPr>
        <w:t xml:space="preserve">en </w:t>
      </w:r>
      <w:r>
        <w:rPr>
          <w:rFonts w:ascii="Arial-BoldItalicMT"/>
          <w:b/>
          <w:i/>
          <w:sz w:val="24"/>
        </w:rPr>
        <w:t xml:space="preserve">el ADN celular de las células infectadas. .... De relevancia aún mayor y más inmediata es la reciente demostración de que el ARNm contenido en la propia vacuna Pfizer-COVID-19 puede integrarse en las células de una línea celular hepática derivada del ser humano. ...</w:t>
      </w:r>
    </w:p>
    <w:p>
      <w:pPr>
        <w:pStyle w:val="ListParagraph"/>
        <w:numPr>
          <w:ilvl w:val="1"/>
          <w:numId w:val="11"/>
        </w:numPr>
        <w:tabs>
          <w:tab w:val="left" w:leader="none" w:pos="1674"/>
        </w:tabs>
        <w:spacing w:before="160" w:after="0" w:line="259" w:lineRule="auto"/>
        <w:ind w:start="1673" w:end="128" w:hanging="720"/>
        <w:jc w:val="both"/>
        <w:rPr>
          <w:rFonts w:ascii="Arial-BoldItalicMT" w:hAnsi="Arial-BoldItalicMT"/>
          <w:b/>
          <w:i/>
          <w:sz w:val="24"/>
        </w:rPr>
      </w:pPr>
      <w:r>
        <w:rPr>
          <w:rFonts w:ascii="Arial-BoldItalicMT" w:hAnsi="Arial-BoldItalicMT"/>
          <w:b/>
          <w:i/>
          <w:sz w:val="24"/>
        </w:rPr>
        <w:t xml:space="preserve">Expresión a largo plazo de la proteína de la espiga. Aunque en un principio se suponía que la expresión de la proteína de la espiga después de la vacunación sería </w:t>
      </w:r>
      <w:r>
        <w:rPr>
          <w:rFonts w:ascii="Arial-BoldItalicMT" w:hAnsi="Arial-BoldItalicMT"/>
          <w:b/>
          <w:i/>
          <w:sz w:val="24"/>
        </w:rPr>
        <w:t xml:space="preserve">de </w:t>
      </w:r>
      <w:r>
        <w:rPr>
          <w:rFonts w:ascii="Arial-BoldItalicMT" w:hAnsi="Arial-BoldItalicMT"/>
          <w:b/>
          <w:i/>
          <w:sz w:val="24"/>
        </w:rPr>
        <w:t xml:space="preserve">corta </w:t>
      </w:r>
      <w:r>
        <w:rPr>
          <w:rFonts w:ascii="Arial-BoldItalicMT" w:hAnsi="Arial-BoldItalicMT"/>
          <w:b/>
          <w:i/>
          <w:sz w:val="24"/>
        </w:rPr>
        <w:t xml:space="preserve">duración </w:t>
      </w:r>
      <w:r>
        <w:rPr>
          <w:rFonts w:ascii="Arial-BoldItalicMT" w:hAnsi="Arial-BoldItalicMT"/>
          <w:b/>
          <w:i/>
          <w:sz w:val="24"/>
        </w:rPr>
        <w:t xml:space="preserve">y se </w:t>
      </w:r>
      <w:r>
        <w:rPr>
          <w:rFonts w:ascii="Arial-BoldItalicMT" w:hAnsi="Arial-BoldItalicMT"/>
          <w:b/>
          <w:i/>
          <w:sz w:val="24"/>
        </w:rPr>
        <w:t xml:space="preserve">limitaría </w:t>
      </w:r>
      <w:r>
        <w:rPr>
          <w:rFonts w:ascii="Arial-BoldItalicMT" w:hAnsi="Arial-BoldItalicMT"/>
          <w:b/>
          <w:i/>
          <w:sz w:val="24"/>
        </w:rPr>
        <w:t xml:space="preserve">en gran medida </w:t>
      </w:r>
      <w:r>
        <w:rPr>
          <w:rFonts w:ascii="Arial-BoldItalicMT" w:hAnsi="Arial-BoldItalicMT"/>
          <w:b/>
          <w:i/>
          <w:sz w:val="24"/>
        </w:rPr>
        <w:t xml:space="preserve">al </w:t>
      </w:r>
      <w:r>
        <w:rPr>
          <w:rFonts w:ascii="Arial-BoldItalicMT" w:hAnsi="Arial-BoldItalicMT"/>
          <w:b/>
          <w:i/>
          <w:sz w:val="24"/>
        </w:rPr>
        <w:t xml:space="preserve">lugar de </w:t>
      </w:r>
      <w:r>
        <w:rPr>
          <w:rFonts w:ascii="Arial-BoldItalicMT" w:hAnsi="Arial-BoldItalicMT"/>
          <w:b/>
          <w:i/>
          <w:sz w:val="24"/>
        </w:rPr>
        <w:t xml:space="preserve">la inyección</w:t>
      </w:r>
      <w:r>
        <w:rPr>
          <w:rFonts w:ascii="Arial-BoldItalicMT" w:hAnsi="Arial-BoldItalicMT"/>
          <w:b/>
          <w:i/>
          <w:sz w:val="24"/>
        </w:rPr>
        <w:t xml:space="preserve">, </w:t>
      </w:r>
      <w:r>
        <w:rPr>
          <w:rFonts w:ascii="Arial-BoldItalicMT" w:hAnsi="Arial-BoldItalicMT"/>
          <w:b/>
          <w:i/>
          <w:sz w:val="24"/>
        </w:rPr>
        <w:t xml:space="preserve">desde entonces </w:t>
      </w:r>
      <w:r>
        <w:rPr>
          <w:rFonts w:ascii="Arial-BoldItalicMT" w:hAnsi="Arial-BoldItalicMT"/>
          <w:b/>
          <w:i/>
          <w:sz w:val="24"/>
        </w:rPr>
        <w:t xml:space="preserve">ha quedado </w:t>
      </w:r>
      <w:r>
        <w:rPr>
          <w:rFonts w:ascii="Arial-BoldItalicMT" w:hAnsi="Arial-BoldItalicMT"/>
          <w:b/>
          <w:i/>
          <w:sz w:val="24"/>
        </w:rPr>
        <w:t xml:space="preserve">claro </w:t>
      </w:r>
      <w:r>
        <w:rPr>
          <w:rFonts w:ascii="Arial-BoldItalicMT" w:hAnsi="Arial-BoldItalicMT"/>
          <w:b/>
          <w:i/>
          <w:sz w:val="24"/>
        </w:rPr>
        <w:t xml:space="preserve">que </w:t>
      </w:r>
      <w:r>
        <w:rPr>
          <w:rFonts w:ascii="Arial-BoldItalicMT" w:hAnsi="Arial-BoldItalicMT"/>
          <w:b/>
          <w:i/>
          <w:sz w:val="24"/>
        </w:rPr>
        <w:t xml:space="preserve">no </w:t>
      </w:r>
      <w:r>
        <w:rPr>
          <w:rFonts w:ascii="Arial-BoldItalicMT" w:hAnsi="Arial-BoldItalicMT"/>
          <w:b/>
          <w:i/>
          <w:sz w:val="24"/>
        </w:rPr>
        <w:t xml:space="preserve">es </w:t>
      </w:r>
      <w:r>
        <w:rPr>
          <w:rFonts w:ascii="Arial-BoldItalicMT" w:hAnsi="Arial-BoldItalicMT"/>
          <w:b/>
          <w:i/>
          <w:sz w:val="24"/>
        </w:rPr>
        <w:t xml:space="preserve">ni lo uno ni lo otro. </w:t>
      </w:r>
      <w:r>
        <w:rPr>
          <w:rFonts w:ascii="Arial-BoldItalicMT" w:hAnsi="Arial-BoldItalicMT"/>
          <w:b/>
          <w:i/>
          <w:sz w:val="24"/>
        </w:rPr>
        <w:t xml:space="preserve">Un </w:t>
      </w:r>
      <w:r>
        <w:rPr>
          <w:rFonts w:ascii="Arial-BoldItalicMT" w:hAnsi="Arial-BoldItalicMT"/>
          <w:b/>
          <w:i/>
          <w:sz w:val="24"/>
        </w:rPr>
        <w:t xml:space="preserve">estudio </w:t>
      </w:r>
      <w:r>
        <w:rPr>
          <w:rFonts w:ascii="Arial-BoldItalicMT" w:hAnsi="Arial-BoldItalicMT"/>
          <w:b/>
          <w:i/>
          <w:sz w:val="24"/>
        </w:rPr>
        <w:t xml:space="preserve">reciente </w:t>
      </w:r>
      <w:r>
        <w:rPr>
          <w:rFonts w:ascii="Arial-BoldItalicMT" w:hAnsi="Arial-BoldItalicMT"/>
          <w:b/>
          <w:i/>
          <w:sz w:val="24"/>
        </w:rPr>
        <w:t xml:space="preserve">de </w:t>
      </w:r>
      <w:r>
        <w:rPr>
          <w:rFonts w:ascii="Arial-BoldItalicMT" w:hAnsi="Arial-BoldItalicMT"/>
          <w:b/>
          <w:i/>
          <w:sz w:val="24"/>
        </w:rPr>
        <w:t xml:space="preserve">Röltgen </w:t>
      </w:r>
      <w:r>
        <w:rPr>
          <w:rFonts w:ascii="Arial-BoldItalicMT" w:hAnsi="Arial-BoldItalicMT"/>
          <w:b/>
          <w:i/>
          <w:sz w:val="24"/>
        </w:rPr>
        <w:t xml:space="preserve">et </w:t>
      </w:r>
      <w:r>
        <w:rPr>
          <w:rFonts w:ascii="Arial-BoldItalicMT" w:hAnsi="Arial-BoldItalicMT"/>
          <w:b/>
          <w:i/>
          <w:sz w:val="24"/>
        </w:rPr>
        <w:t xml:space="preserve">al. </w:t>
      </w:r>
      <w:r>
        <w:rPr>
          <w:rFonts w:ascii="Arial-BoldItalicMT" w:hAnsi="Arial-BoldItalicMT"/>
          <w:b/>
          <w:i/>
          <w:sz w:val="24"/>
        </w:rPr>
        <w:t xml:space="preserve">detectó tanto la proteína de la espiga como el ARNm que la codifica en los ganglios linfáticos de las personas vacunadas a los 60 días de la última inyección. Esta </w:t>
      </w:r>
      <w:r>
        <w:rPr>
          <w:rFonts w:ascii="Arial-BoldItalicMT" w:hAnsi="Arial-BoldItalicMT"/>
          <w:b/>
          <w:i/>
          <w:sz w:val="24"/>
        </w:rPr>
        <w:t xml:space="preserve">persistencia </w:t>
      </w:r>
      <w:r>
        <w:rPr>
          <w:rFonts w:ascii="Arial-BoldItalicMT" w:hAnsi="Arial-BoldItalicMT"/>
          <w:b/>
          <w:i/>
          <w:sz w:val="24"/>
        </w:rPr>
        <w:t xml:space="preserve">sorprendentemente </w:t>
      </w:r>
      <w:r>
        <w:rPr>
          <w:rFonts w:ascii="Arial-BoldItalicMT" w:hAnsi="Arial-BoldItalicMT"/>
          <w:b/>
          <w:i/>
          <w:sz w:val="24"/>
        </w:rPr>
        <w:t xml:space="preserve">larga </w:t>
      </w:r>
      <w:r>
        <w:rPr>
          <w:rFonts w:ascii="Arial-BoldItalicMT" w:hAnsi="Arial-BoldItalicMT"/>
          <w:b/>
          <w:i/>
          <w:sz w:val="24"/>
        </w:rPr>
        <w:t xml:space="preserve">es </w:t>
      </w:r>
      <w:r>
        <w:rPr>
          <w:rFonts w:ascii="Arial-BoldItalicMT" w:hAnsi="Arial-BoldItalicMT"/>
          <w:b/>
          <w:i/>
          <w:sz w:val="24"/>
        </w:rPr>
        <w:t xml:space="preserve">difícil </w:t>
      </w:r>
      <w:r>
        <w:rPr>
          <w:rFonts w:ascii="Arial-BoldItalicMT" w:hAnsi="Arial-BoldItalicMT"/>
          <w:b/>
          <w:i/>
          <w:sz w:val="24"/>
        </w:rPr>
        <w:t xml:space="preserve">de </w:t>
      </w:r>
      <w:r>
        <w:rPr>
          <w:rFonts w:ascii="Arial-BoldItalicMT" w:hAnsi="Arial-BoldItalicMT"/>
          <w:b/>
          <w:i/>
          <w:sz w:val="24"/>
        </w:rPr>
        <w:t xml:space="preserve">conciliar </w:t>
      </w:r>
      <w:r>
        <w:rPr>
          <w:rFonts w:ascii="Arial-BoldItalicMT" w:hAnsi="Arial-BoldItalicMT"/>
          <w:b/>
          <w:i/>
          <w:sz w:val="24"/>
        </w:rPr>
        <w:t xml:space="preserve">con </w:t>
      </w:r>
      <w:r>
        <w:rPr>
          <w:rFonts w:ascii="Arial-BoldItalicMT" w:hAnsi="Arial-BoldItalicMT"/>
          <w:b/>
          <w:i/>
          <w:sz w:val="24"/>
        </w:rPr>
        <w:t xml:space="preserve">la </w:t>
      </w:r>
      <w:r>
        <w:rPr>
          <w:rFonts w:ascii="Arial-BoldItalicMT" w:hAnsi="Arial-BoldItalicMT"/>
          <w:b/>
          <w:i/>
          <w:sz w:val="24"/>
        </w:rPr>
        <w:t xml:space="preserve">noción</w:t>
      </w:r>
    </w:p>
    <w:p>
      <w:pPr>
        <w:spacing w:after="0" w:line="259" w:lineRule="auto"/>
        <w:jc w:val="both"/>
        <w:rPr>
          <w:rFonts w:ascii="Arial-BoldItalicMT" w:hAnsi="Arial-BoldItalicMT"/>
          <w:sz w:val="24"/>
        </w:rPr>
        <w:sectPr>
          <w:pgSz w:w="11900" w:h="16850"/>
          <w:pgMar w:top="1340" w:right="1000" w:bottom="800" w:left="1020" w:header="0" w:footer="605"/>
        </w:sectPr>
      </w:pPr>
    </w:p>
    <w:p>
      <w:pPr>
        <w:pStyle w:val="BodyText"/>
        <w:tabs>
          <w:tab w:val="left" w:leader="dot" w:pos="2808"/>
        </w:tabs>
        <w:spacing w:before="78" w:line="259" w:lineRule="auto"/>
        <w:ind w:start="1673" w:end="128"/>
      </w:pPr>
      <w:r>
        <w:rPr/>
        <w:t xml:space="preserve">que la expresión sólo es impulsada directamente por el </w:t>
      </w:r>
      <w:r>
        <w:rPr>
          <w:spacing w:val="-2"/>
        </w:rPr>
        <w:t xml:space="preserve">ARNm</w:t>
      </w:r>
      <w:r>
        <w:rPr/>
        <w:t xml:space="preserve"> recombinante inyectado</w:t>
      </w:r>
      <w:r>
        <w:rPr>
          <w:spacing w:val="-2"/>
        </w:rPr>
        <w:t xml:space="preserve">. </w:t>
      </w:r>
      <w:r>
        <w:rPr/>
        <w:t xml:space="preserve">Por lo tanto</w:t>
      </w:r>
      <w:r>
        <w:rPr/>
        <w:tab/>
        <w:t xml:space="preserve">, </w:t>
      </w:r>
      <w:r>
        <w:rPr/>
        <w:t xml:space="preserve">debemos </w:t>
      </w:r>
      <w:r>
        <w:rPr/>
        <w:t xml:space="preserve">tener </w:t>
      </w:r>
      <w:r>
        <w:rPr/>
        <w:t xml:space="preserve">muy </w:t>
      </w:r>
      <w:r>
        <w:rPr/>
        <w:t xml:space="preserve">en </w:t>
      </w:r>
      <w:r>
        <w:rPr/>
        <w:t xml:space="preserve">cuenta </w:t>
      </w:r>
      <w:r>
        <w:rPr/>
        <w:t xml:space="preserve">la </w:t>
      </w:r>
      <w:r>
        <w:rPr/>
        <w:t xml:space="preserve">posibilidad </w:t>
      </w:r>
      <w:r>
        <w:rPr/>
        <w:t xml:space="preserve">de que </w:t>
      </w:r>
      <w:r>
        <w:rPr>
          <w:spacing w:val="-5"/>
        </w:rPr>
        <w:t xml:space="preserve">la</w:t>
      </w:r>
    </w:p>
    <w:p>
      <w:pPr>
        <w:pStyle w:val="BodyText"/>
        <w:spacing w:line="259" w:lineRule="auto"/>
        <w:ind w:start="1673" w:end="50"/>
      </w:pPr>
      <w:r>
        <w:rPr/>
        <w:t xml:space="preserve">El gen </w:t>
      </w:r>
      <w:r>
        <w:rPr/>
        <w:t xml:space="preserve">que codifica </w:t>
      </w:r>
      <w:r>
        <w:rPr/>
        <w:t xml:space="preserve">la </w:t>
      </w:r>
      <w:r>
        <w:rPr/>
        <w:t xml:space="preserve">proteína de </w:t>
      </w:r>
      <w:r>
        <w:rPr/>
        <w:t xml:space="preserve">la espiga </w:t>
      </w:r>
      <w:r>
        <w:rPr/>
        <w:t xml:space="preserve">se </w:t>
      </w:r>
      <w:r>
        <w:rPr/>
        <w:t xml:space="preserve">perpetúa </w:t>
      </w:r>
      <w:r>
        <w:rPr/>
        <w:t xml:space="preserve">y se </w:t>
      </w:r>
      <w:r>
        <w:rPr/>
        <w:t xml:space="preserve">expresa </w:t>
      </w:r>
      <w:r>
        <w:rPr/>
        <w:t xml:space="preserve">continuamente </w:t>
      </w:r>
      <w:r>
        <w:rPr/>
        <w:t xml:space="preserve">in vivo mediante la inserción de ADN. ....</w:t>
      </w:r>
    </w:p>
    <w:p>
      <w:pPr>
        <w:pStyle w:val="ListParagraph"/>
        <w:numPr>
          <w:ilvl w:val="1"/>
          <w:numId w:val="12"/>
        </w:numPr>
        <w:tabs>
          <w:tab w:val="left" w:leader="none" w:pos="1674"/>
        </w:tabs>
        <w:spacing w:before="159" w:after="0" w:line="259" w:lineRule="auto"/>
        <w:ind w:start="1673" w:end="127" w:hanging="720"/>
        <w:jc w:val="both"/>
        <w:rPr>
          <w:rFonts w:ascii="Arial-BoldItalicMT"/>
          <w:b/>
          <w:i/>
          <w:sz w:val="24"/>
        </w:rPr>
      </w:pPr>
      <w:r>
        <w:rPr>
          <w:rFonts w:ascii="Arial-BoldItalicMT"/>
          <w:b/>
          <w:i/>
          <w:sz w:val="24"/>
        </w:rPr>
        <w:t xml:space="preserve">Resumen. Se ha demostrado directamente in vitro la transcripción inversa del ARNm de la vacuna COVID-19 de Pfizer en ADN y la integración de la copia de ADN en el genoma de las células huésped, y la persistencia documentada a largo plazo de la proteína de la espiga en el organismo de las personas vacunadas sugiere que la integración del ADN puede producirse in vivo y perpetuar la expresión de la proteína de la espiga. Además, los ovarios acumulan altos niveles de la vacuna, lo que implica que los ovocitos pueden estar expuestos a cantidades significativas del </w:t>
      </w:r>
      <w:r>
        <w:rPr>
          <w:rFonts w:ascii="Arial-BoldItalicMT"/>
          <w:b/>
          <w:i/>
          <w:spacing w:val="-2"/>
          <w:sz w:val="24"/>
        </w:rPr>
        <w:t xml:space="preserve">ARNm</w:t>
      </w:r>
      <w:r>
        <w:rPr>
          <w:rFonts w:ascii="Arial-BoldItalicMT"/>
          <w:b/>
          <w:i/>
          <w:sz w:val="24"/>
        </w:rPr>
        <w:t xml:space="preserve"> recombinante</w:t>
      </w:r>
      <w:r>
        <w:rPr>
          <w:rFonts w:ascii="Arial-BoldItalicMT"/>
          <w:b/>
          <w:i/>
          <w:spacing w:val="-2"/>
          <w:sz w:val="24"/>
        </w:rPr>
        <w:t xml:space="preserve">.</w:t>
      </w:r>
    </w:p>
    <w:p>
      <w:pPr>
        <w:pStyle w:val="ListParagraph"/>
        <w:numPr>
          <w:ilvl w:val="2"/>
          <w:numId w:val="12"/>
        </w:numPr>
        <w:tabs>
          <w:tab w:val="left" w:leader="none" w:pos="1531"/>
          <w:tab w:val="left" w:leader="none" w:pos="1532"/>
        </w:tabs>
        <w:spacing w:before="157" w:after="0" w:line="259" w:lineRule="auto"/>
        <w:ind w:start="1531" w:end="129" w:hanging="406"/>
        <w:jc w:val="left"/>
        <w:rPr>
          <w:rFonts w:ascii="Arial-BoldItalicMT"/>
          <w:b/>
          <w:i/>
          <w:sz w:val="24"/>
        </w:rPr>
      </w:pPr>
      <w:r>
        <w:rPr>
          <w:rFonts w:ascii="Arial-BoldItalicMT"/>
          <w:b/>
          <w:i/>
          <w:sz w:val="24"/>
        </w:rPr>
        <w:t xml:space="preserve">Riesgos </w:t>
      </w:r>
      <w:r>
        <w:rPr>
          <w:rFonts w:ascii="Arial-BoldItalicMT"/>
          <w:b/>
          <w:i/>
          <w:sz w:val="24"/>
        </w:rPr>
        <w:t xml:space="preserve">conocidos </w:t>
      </w:r>
      <w:r>
        <w:rPr>
          <w:rFonts w:ascii="Arial-BoldItalicMT"/>
          <w:b/>
          <w:i/>
          <w:sz w:val="24"/>
        </w:rPr>
        <w:t xml:space="preserve">y </w:t>
      </w:r>
      <w:r>
        <w:rPr>
          <w:rFonts w:ascii="Arial-BoldItalicMT"/>
          <w:b/>
          <w:i/>
          <w:sz w:val="24"/>
        </w:rPr>
        <w:t xml:space="preserve">plausibles </w:t>
      </w:r>
      <w:r>
        <w:rPr>
          <w:rFonts w:ascii="Arial-BoldItalicMT"/>
          <w:b/>
          <w:i/>
          <w:sz w:val="24"/>
        </w:rPr>
        <w:t xml:space="preserve">que </w:t>
      </w:r>
      <w:r>
        <w:rPr>
          <w:rFonts w:ascii="Arial-BoldItalicMT"/>
          <w:b/>
          <w:i/>
          <w:sz w:val="24"/>
        </w:rPr>
        <w:t xml:space="preserve">surgen </w:t>
      </w:r>
      <w:r>
        <w:rPr>
          <w:rFonts w:ascii="Arial-BoldItalicMT"/>
          <w:b/>
          <w:i/>
          <w:sz w:val="24"/>
        </w:rPr>
        <w:t xml:space="preserve">de </w:t>
      </w:r>
      <w:r>
        <w:rPr>
          <w:rFonts w:ascii="Arial-BoldItalicMT"/>
          <w:b/>
          <w:i/>
          <w:sz w:val="24"/>
        </w:rPr>
        <w:t xml:space="preserve">la </w:t>
      </w:r>
      <w:r>
        <w:rPr>
          <w:rFonts w:ascii="Arial-BoldItalicMT"/>
          <w:b/>
          <w:i/>
          <w:sz w:val="24"/>
        </w:rPr>
        <w:t xml:space="preserve">inserción genómica </w:t>
      </w:r>
      <w:r>
        <w:rPr>
          <w:rFonts w:ascii="Arial-BoldItalicMT"/>
          <w:b/>
          <w:i/>
          <w:sz w:val="24"/>
        </w:rPr>
        <w:t xml:space="preserve">recientemente </w:t>
      </w:r>
      <w:r>
        <w:rPr>
          <w:rFonts w:ascii="Arial-BoldItalicMT"/>
          <w:b/>
          <w:i/>
          <w:sz w:val="24"/>
        </w:rPr>
        <w:t xml:space="preserve">establecida </w:t>
      </w:r>
      <w:r>
        <w:rPr>
          <w:rFonts w:ascii="Arial-BoldItalicMT"/>
          <w:b/>
          <w:i/>
          <w:sz w:val="24"/>
        </w:rPr>
        <w:t xml:space="preserve">de la vacuna Covid-19 de Pfizer</w:t>
      </w:r>
    </w:p>
    <w:p>
      <w:pPr>
        <w:spacing w:before="160" w:line="259" w:lineRule="auto"/>
        <w:ind w:start="1106" w:end="0" w:firstLine="0"/>
        <w:jc w:val="left"/>
        <w:rPr>
          <w:i/>
          <w:sz w:val="24"/>
        </w:rPr>
      </w:pPr>
      <w:r>
        <w:rPr>
          <w:i/>
          <w:sz w:val="24"/>
        </w:rPr>
        <w:t xml:space="preserve">Los resultados comunicados por Alden et al., aunque preliminares en algunos aspectos, plantean </w:t>
      </w:r>
      <w:r>
        <w:rPr>
          <w:i/>
          <w:sz w:val="24"/>
        </w:rPr>
        <w:t xml:space="preserve">algunas </w:t>
      </w:r>
      <w:r>
        <w:rPr>
          <w:i/>
          <w:sz w:val="24"/>
        </w:rPr>
        <w:t xml:space="preserve">cuestiones </w:t>
      </w:r>
      <w:r>
        <w:rPr>
          <w:i/>
          <w:sz w:val="24"/>
        </w:rPr>
        <w:t xml:space="preserve">muy </w:t>
      </w:r>
      <w:r>
        <w:rPr>
          <w:i/>
          <w:sz w:val="24"/>
        </w:rPr>
        <w:t xml:space="preserve">serias </w:t>
      </w:r>
      <w:r>
        <w:rPr>
          <w:i/>
          <w:sz w:val="24"/>
        </w:rPr>
        <w:t xml:space="preserve">que </w:t>
      </w:r>
      <w:r>
        <w:rPr>
          <w:i/>
          <w:sz w:val="24"/>
        </w:rPr>
        <w:t xml:space="preserve">no </w:t>
      </w:r>
      <w:r>
        <w:rPr>
          <w:i/>
          <w:sz w:val="24"/>
        </w:rPr>
        <w:t xml:space="preserve">pueden </w:t>
      </w:r>
      <w:r>
        <w:rPr>
          <w:i/>
          <w:sz w:val="24"/>
        </w:rPr>
        <w:t xml:space="preserve">ser </w:t>
      </w:r>
      <w:r>
        <w:rPr>
          <w:i/>
          <w:sz w:val="24"/>
        </w:rPr>
        <w:t xml:space="preserve">ignoradas </w:t>
      </w:r>
      <w:r>
        <w:rPr>
          <w:i/>
          <w:sz w:val="24"/>
        </w:rPr>
        <w:t xml:space="preserve">por </w:t>
      </w:r>
      <w:r>
        <w:rPr>
          <w:i/>
          <w:sz w:val="24"/>
        </w:rPr>
        <w:t xml:space="preserve">la EMA </w:t>
      </w:r>
      <w:r>
        <w:rPr>
          <w:i/>
          <w:sz w:val="24"/>
        </w:rPr>
        <w:t xml:space="preserve">y otras autoridades reguladoras...</w:t>
      </w:r>
    </w:p>
    <w:p>
      <w:pPr>
        <w:spacing w:before="160" w:line="259" w:lineRule="auto"/>
        <w:ind w:start="1106" w:end="145" w:firstLine="0"/>
        <w:jc w:val="left"/>
        <w:rPr>
          <w:i/>
          <w:sz w:val="24"/>
        </w:rPr>
      </w:pPr>
      <w:r>
        <w:rPr>
          <w:i/>
          <w:sz w:val="24"/>
        </w:rPr>
        <w:t xml:space="preserve">3.3. </w:t>
      </w:r>
      <w:r>
        <w:rPr>
          <w:i/>
          <w:sz w:val="24"/>
        </w:rPr>
        <w:t xml:space="preserve">Resumen. La </w:t>
      </w:r>
      <w:r>
        <w:rPr>
          <w:i/>
          <w:sz w:val="24"/>
        </w:rPr>
        <w:t xml:space="preserve">integración </w:t>
      </w:r>
      <w:r>
        <w:rPr>
          <w:i/>
          <w:sz w:val="24"/>
        </w:rPr>
        <w:t xml:space="preserve">de </w:t>
      </w:r>
      <w:r>
        <w:rPr>
          <w:i/>
          <w:sz w:val="24"/>
        </w:rPr>
        <w:t xml:space="preserve">las </w:t>
      </w:r>
      <w:r>
        <w:rPr>
          <w:i/>
          <w:sz w:val="24"/>
        </w:rPr>
        <w:t xml:space="preserve">secuencias de </w:t>
      </w:r>
      <w:r>
        <w:rPr>
          <w:i/>
          <w:sz w:val="24"/>
        </w:rPr>
        <w:t xml:space="preserve">ARNm </w:t>
      </w:r>
      <w:r>
        <w:rPr>
          <w:i/>
          <w:sz w:val="24"/>
        </w:rPr>
        <w:t xml:space="preserve">en </w:t>
      </w:r>
      <w:r>
        <w:rPr>
          <w:i/>
          <w:sz w:val="24"/>
        </w:rPr>
        <w:t xml:space="preserve">las células </w:t>
      </w:r>
      <w:r>
        <w:rPr>
          <w:i/>
          <w:sz w:val="24"/>
        </w:rPr>
        <w:t xml:space="preserve">somáticas </w:t>
      </w:r>
      <w:r>
        <w:rPr>
          <w:i/>
          <w:sz w:val="24"/>
        </w:rPr>
        <w:t xml:space="preserve">es </w:t>
      </w:r>
      <w:r>
        <w:rPr>
          <w:i/>
          <w:sz w:val="24"/>
        </w:rPr>
        <w:t xml:space="preserve">probable </w:t>
      </w:r>
      <w:r>
        <w:rPr>
          <w:i/>
          <w:sz w:val="24"/>
        </w:rPr>
        <w:t xml:space="preserve">e implica un riesgo de cáncer y de enfermedades autoinmunes. Además, no se puede negar el riesgo de integración en la línea germinal, que da lugar a una descendencia transgénica. Estos riesgos deben abordarse urgentemente mediante estudios exhaustivos en animales. Mientras tanto, deben revocarse urgentemente las autorizaciones basadas en la evaluación científica manifiestamente inadecuada de EMAS.</w:t>
      </w:r>
    </w:p>
    <w:p>
      <w:pPr>
        <w:spacing w:before="0" w:line="240" w:lineRule="auto"/>
        <w:rPr>
          <w:i/>
          <w:sz w:val="26"/>
        </w:rPr>
      </w:pPr>
    </w:p>
    <w:p>
      <w:pPr>
        <w:spacing w:before="7" w:line="240" w:lineRule="auto"/>
        <w:rPr>
          <w:i/>
          <w:sz w:val="27"/>
        </w:rPr>
      </w:pPr>
    </w:p>
    <w:p>
      <w:pPr>
        <w:pStyle w:val="ListParagraph"/>
        <w:numPr>
          <w:ilvl w:val="2"/>
          <w:numId w:val="12"/>
        </w:numPr>
        <w:tabs>
          <w:tab w:val="left" w:leader="none" w:pos="1090"/>
        </w:tabs>
        <w:spacing w:before="0" w:after="0" w:line="240" w:lineRule="auto"/>
        <w:ind w:start="1090" w:end="0" w:hanging="269"/>
        <w:jc w:val="both"/>
        <w:rPr>
          <w:sz w:val="24"/>
        </w:rPr>
      </w:pPr>
      <w:r>
        <w:rPr>
          <w:rFonts w:ascii="Arial-BoldItalicMT"/>
          <w:b/>
          <w:i/>
          <w:sz w:val="24"/>
        </w:rPr>
        <w:t xml:space="preserve">Potencial </w:t>
      </w:r>
      <w:r>
        <w:rPr>
          <w:rFonts w:ascii="Arial-BoldItalicMT"/>
          <w:b/>
          <w:i/>
          <w:sz w:val="24"/>
        </w:rPr>
        <w:t xml:space="preserve">genotóxico </w:t>
      </w:r>
      <w:r>
        <w:rPr>
          <w:rFonts w:ascii="Arial-BoldItalicMT"/>
          <w:b/>
          <w:i/>
          <w:sz w:val="24"/>
        </w:rPr>
        <w:t xml:space="preserve">de las </w:t>
      </w:r>
      <w:r>
        <w:rPr>
          <w:rFonts w:ascii="Arial-BoldItalicMT"/>
          <w:b/>
          <w:i/>
          <w:sz w:val="24"/>
        </w:rPr>
        <w:t xml:space="preserve">nanopartículas </w:t>
      </w:r>
      <w:r>
        <w:rPr>
          <w:rFonts w:ascii="Arial-BoldItalicMT"/>
          <w:b/>
          <w:i/>
          <w:sz w:val="24"/>
        </w:rPr>
        <w:t xml:space="preserve">lipídicas </w:t>
      </w:r>
      <w:r>
        <w:rPr>
          <w:rFonts w:ascii="Arial-BoldItalicMT"/>
          <w:b/>
          <w:i/>
          <w:spacing w:val="-1"/>
          <w:sz w:val="24"/>
        </w:rPr>
        <w:t xml:space="preserve">.</w:t>
      </w:r>
      <w:r>
        <w:rPr>
          <w:spacing w:val="-5"/>
          <w:sz w:val="24"/>
        </w:rPr>
        <w:t xml:space="preserve">..</w:t>
      </w:r>
    </w:p>
    <w:p>
      <w:pPr>
        <w:spacing w:before="183" w:line="259" w:lineRule="auto"/>
        <w:ind w:start="821" w:end="125" w:firstLine="0"/>
        <w:jc w:val="both"/>
        <w:rPr>
          <w:i/>
          <w:sz w:val="24"/>
        </w:rPr>
      </w:pPr>
      <w:r>
        <w:rPr>
          <w:i/>
          <w:sz w:val="24"/>
        </w:rPr>
        <w:t xml:space="preserve">4.2. </w:t>
      </w:r>
      <w:r>
        <w:rPr>
          <w:i/>
          <w:sz w:val="24"/>
        </w:rPr>
        <w:t xml:space="preserve">Indicios </w:t>
      </w:r>
      <w:r>
        <w:rPr>
          <w:i/>
          <w:sz w:val="24"/>
        </w:rPr>
        <w:t xml:space="preserve">de </w:t>
      </w:r>
      <w:r>
        <w:rPr>
          <w:i/>
          <w:sz w:val="24"/>
        </w:rPr>
        <w:t xml:space="preserve">daños </w:t>
      </w:r>
      <w:r>
        <w:rPr>
          <w:i/>
          <w:sz w:val="24"/>
        </w:rPr>
        <w:t xml:space="preserve">genéticos </w:t>
      </w:r>
      <w:r>
        <w:rPr>
          <w:i/>
          <w:sz w:val="24"/>
        </w:rPr>
        <w:t xml:space="preserve">debidos a los </w:t>
      </w:r>
      <w:r>
        <w:rPr>
          <w:i/>
          <w:sz w:val="24"/>
        </w:rPr>
        <w:t xml:space="preserve">lípidos </w:t>
      </w:r>
      <w:r>
        <w:rPr>
          <w:i/>
          <w:sz w:val="24"/>
        </w:rPr>
        <w:t xml:space="preserve">catiónicos </w:t>
      </w:r>
      <w:r>
        <w:rPr>
          <w:i/>
          <w:sz w:val="24"/>
        </w:rPr>
        <w:t xml:space="preserve">de la vacuna de </w:t>
      </w:r>
      <w:r>
        <w:rPr>
          <w:i/>
          <w:sz w:val="24"/>
        </w:rPr>
        <w:t xml:space="preserve">ARNm </w:t>
      </w:r>
      <w:r>
        <w:rPr>
          <w:i/>
          <w:sz w:val="24"/>
        </w:rPr>
        <w:t xml:space="preserve">de Moderna</w:t>
      </w:r>
      <w:r>
        <w:rPr>
          <w:i/>
          <w:sz w:val="24"/>
        </w:rPr>
        <w:t xml:space="preserve">. </w:t>
      </w:r>
      <w:r>
        <w:rPr>
          <w:i/>
          <w:sz w:val="24"/>
        </w:rPr>
        <w:t xml:space="preserve">Según el informe de evaluación de la EMA sobre la vacuna COVID-19 de Pfizer, este fabricante no aportó ningún dato experimental sobre la potencial citotoxicidad de su </w:t>
      </w:r>
      <w:r>
        <w:rPr>
          <w:i/>
          <w:sz w:val="24"/>
        </w:rPr>
        <w:t xml:space="preserve">mezcla de </w:t>
      </w:r>
      <w:r>
        <w:rPr>
          <w:i/>
          <w:sz w:val="24"/>
        </w:rPr>
        <w:t xml:space="preserve">lípidos </w:t>
      </w:r>
      <w:r>
        <w:rPr>
          <w:i/>
          <w:sz w:val="24"/>
        </w:rPr>
        <w:t xml:space="preserve">(y </w:t>
      </w:r>
      <w:r>
        <w:rPr>
          <w:i/>
          <w:sz w:val="24"/>
        </w:rPr>
        <w:t xml:space="preserve">la </w:t>
      </w:r>
      <w:r>
        <w:rPr>
          <w:i/>
          <w:sz w:val="24"/>
        </w:rPr>
        <w:t xml:space="preserve">EMA </w:t>
      </w:r>
      <w:r>
        <w:rPr>
          <w:i/>
          <w:sz w:val="24"/>
        </w:rPr>
        <w:t xml:space="preserve">cometió </w:t>
      </w:r>
      <w:r>
        <w:rPr>
          <w:i/>
          <w:sz w:val="24"/>
        </w:rPr>
        <w:t xml:space="preserve">un </w:t>
      </w:r>
      <w:r>
        <w:rPr>
          <w:i/>
          <w:sz w:val="24"/>
        </w:rPr>
        <w:t xml:space="preserve">grave </w:t>
      </w:r>
      <w:r>
        <w:rPr>
          <w:i/>
          <w:sz w:val="24"/>
        </w:rPr>
        <w:t xml:space="preserve">error </w:t>
      </w:r>
      <w:r>
        <w:rPr>
          <w:i/>
          <w:sz w:val="24"/>
        </w:rPr>
        <w:t xml:space="preserve">al </w:t>
      </w:r>
      <w:r>
        <w:rPr>
          <w:i/>
          <w:sz w:val="24"/>
        </w:rPr>
        <w:t xml:space="preserve">dejarle </w:t>
      </w:r>
      <w:r>
        <w:rPr>
          <w:i/>
          <w:sz w:val="24"/>
        </w:rPr>
        <w:t xml:space="preserve">salirse con la </w:t>
      </w:r>
      <w:r>
        <w:rPr>
          <w:i/>
          <w:sz w:val="24"/>
        </w:rPr>
        <w:t xml:space="preserve">suya). En cambio, Moderna, en su propia solicitud a la EMA, sí aportó algunos datos experimentales. ... En conclusión, aunque los datos proporcionados por Moderna son incompletos, sugieren fuertemente que su lípido SM-102 es realmente genotóxico. Esto concuerda con las observaciones previas de genotoxicidad asociadas con lípidos catiónicos similares en liposomas, revisadas por ejemplo por Inglut et al. A menos que </w:t>
      </w:r>
      <w:r>
        <w:rPr>
          <w:i/>
          <w:sz w:val="24"/>
        </w:rPr>
        <w:t xml:space="preserve">se </w:t>
      </w:r>
      <w:r>
        <w:rPr>
          <w:i/>
          <w:sz w:val="24"/>
        </w:rPr>
        <w:t xml:space="preserve">proporcione una </w:t>
      </w:r>
      <w:r>
        <w:rPr>
          <w:i/>
          <w:sz w:val="24"/>
        </w:rPr>
        <w:t xml:space="preserve">prueba positiva de lo contrario</w:t>
      </w:r>
      <w:r>
        <w:rPr>
          <w:i/>
          <w:sz w:val="24"/>
        </w:rPr>
        <w:t xml:space="preserve">, </w:t>
      </w:r>
      <w:r>
        <w:rPr>
          <w:i/>
          <w:sz w:val="24"/>
        </w:rPr>
        <w:t xml:space="preserve">debe </w:t>
      </w:r>
      <w:r>
        <w:rPr>
          <w:i/>
          <w:sz w:val="24"/>
        </w:rPr>
        <w:t xml:space="preserve">asumirse </w:t>
      </w:r>
      <w:r>
        <w:rPr>
          <w:i/>
          <w:sz w:val="24"/>
        </w:rPr>
        <w:t xml:space="preserve">que </w:t>
      </w:r>
      <w:r>
        <w:rPr>
          <w:i/>
          <w:sz w:val="24"/>
        </w:rPr>
        <w:t xml:space="preserve">lo </w:t>
      </w:r>
      <w:r>
        <w:rPr>
          <w:i/>
          <w:sz w:val="24"/>
        </w:rPr>
        <w:t xml:space="preserve">mismo </w:t>
      </w:r>
      <w:r>
        <w:rPr>
          <w:i/>
          <w:sz w:val="24"/>
        </w:rPr>
        <w:t xml:space="preserve">se aplica </w:t>
      </w:r>
      <w:r>
        <w:rPr>
          <w:i/>
          <w:sz w:val="24"/>
        </w:rPr>
        <w:t xml:space="preserve">al </w:t>
      </w:r>
      <w:r>
        <w:rPr>
          <w:i/>
          <w:sz w:val="24"/>
        </w:rPr>
        <w:t xml:space="preserve">lípido ALC- 315 </w:t>
      </w:r>
      <w:r>
        <w:rPr>
          <w:i/>
          <w:sz w:val="24"/>
        </w:rPr>
        <w:t xml:space="preserve">de Pfizers</w:t>
      </w:r>
      <w:r>
        <w:rPr>
          <w:i/>
          <w:sz w:val="24"/>
        </w:rPr>
        <w:t xml:space="preserve">. ....</w:t>
      </w:r>
    </w:p>
    <w:p>
      <w:pPr>
        <w:spacing w:before="158" w:line="259" w:lineRule="auto"/>
        <w:ind w:start="821" w:end="126" w:firstLine="0"/>
        <w:jc w:val="both"/>
        <w:rPr>
          <w:i/>
          <w:sz w:val="24"/>
        </w:rPr>
      </w:pPr>
      <w:r>
        <w:rPr>
          <w:i/>
          <w:sz w:val="24"/>
        </w:rPr>
        <w:t xml:space="preserve">4.4. </w:t>
      </w:r>
      <w:r>
        <w:rPr>
          <w:i/>
          <w:sz w:val="24"/>
        </w:rPr>
        <w:t xml:space="preserve">Resumen. </w:t>
      </w:r>
      <w:r>
        <w:rPr>
          <w:i/>
          <w:sz w:val="24"/>
        </w:rPr>
        <w:t xml:space="preserve">Aparte </w:t>
      </w:r>
      <w:r>
        <w:rPr>
          <w:i/>
          <w:sz w:val="24"/>
        </w:rPr>
        <w:t xml:space="preserve">del </w:t>
      </w:r>
      <w:r>
        <w:rPr>
          <w:i/>
          <w:sz w:val="24"/>
        </w:rPr>
        <w:t xml:space="preserve">ARNm, </w:t>
      </w:r>
      <w:r>
        <w:rPr>
          <w:i/>
          <w:sz w:val="24"/>
        </w:rPr>
        <w:t xml:space="preserve">el </w:t>
      </w:r>
      <w:r>
        <w:rPr>
          <w:i/>
          <w:sz w:val="24"/>
        </w:rPr>
        <w:t xml:space="preserve">lípido c</w:t>
      </w:r>
      <w:r>
        <w:rPr>
          <w:i/>
          <w:sz w:val="24"/>
        </w:rPr>
        <w:t xml:space="preserve">atiónico </w:t>
      </w:r>
      <w:r>
        <w:rPr>
          <w:i/>
          <w:sz w:val="24"/>
        </w:rPr>
        <w:t xml:space="preserve">contenido </w:t>
      </w:r>
      <w:r>
        <w:rPr>
          <w:i/>
          <w:sz w:val="24"/>
        </w:rPr>
        <w:t xml:space="preserve">en </w:t>
      </w:r>
      <w:r>
        <w:rPr>
          <w:i/>
          <w:sz w:val="24"/>
        </w:rPr>
        <w:t xml:space="preserve">la </w:t>
      </w:r>
      <w:r>
        <w:rPr>
          <w:i/>
          <w:sz w:val="24"/>
        </w:rPr>
        <w:t xml:space="preserve">vacuna </w:t>
      </w:r>
      <w:r>
        <w:rPr>
          <w:i/>
          <w:sz w:val="24"/>
        </w:rPr>
        <w:t xml:space="preserve">COVID- 19 </w:t>
      </w:r>
      <w:r>
        <w:rPr>
          <w:i/>
          <w:sz w:val="24"/>
        </w:rPr>
        <w:t xml:space="preserve">de Pfizer </w:t>
      </w:r>
      <w:r>
        <w:rPr>
          <w:i/>
          <w:sz w:val="24"/>
        </w:rPr>
        <w:t xml:space="preserve">también </w:t>
      </w:r>
      <w:r>
        <w:rPr>
          <w:i/>
          <w:sz w:val="24"/>
        </w:rPr>
        <w:t xml:space="preserve">supone un </w:t>
      </w:r>
      <w:r>
        <w:rPr>
          <w:i/>
          <w:sz w:val="24"/>
        </w:rPr>
        <w:t xml:space="preserve">riesgo </w:t>
      </w:r>
      <w:r>
        <w:rPr>
          <w:i/>
          <w:sz w:val="24"/>
        </w:rPr>
        <w:t xml:space="preserve">de </w:t>
      </w:r>
      <w:r>
        <w:rPr>
          <w:i/>
          <w:sz w:val="24"/>
        </w:rPr>
        <w:t xml:space="preserve">genotoxicidad. </w:t>
      </w:r>
      <w:r>
        <w:rPr>
          <w:i/>
          <w:sz w:val="24"/>
        </w:rPr>
        <w:t xml:space="preserve">La EMA </w:t>
      </w:r>
      <w:r>
        <w:rPr>
          <w:i/>
          <w:sz w:val="24"/>
        </w:rPr>
        <w:t xml:space="preserve">cometió un error </w:t>
      </w:r>
      <w:r>
        <w:rPr>
          <w:i/>
          <w:sz w:val="24"/>
        </w:rPr>
        <w:t xml:space="preserve">al </w:t>
      </w:r>
      <w:r>
        <w:rPr>
          <w:i/>
          <w:sz w:val="24"/>
        </w:rPr>
        <w:t xml:space="preserve">descuidar este </w:t>
      </w:r>
      <w:r>
        <w:rPr>
          <w:i/>
          <w:sz w:val="24"/>
        </w:rPr>
        <w:t xml:space="preserve">riesgo </w:t>
      </w:r>
      <w:r>
        <w:rPr>
          <w:i/>
          <w:sz w:val="24"/>
        </w:rPr>
        <w:t xml:space="preserve">y no insistir en su evaluación experimental rigurosa por parte del fabricante.</w:t>
      </w:r>
    </w:p>
    <w:p>
      <w:pPr>
        <w:spacing w:after="0" w:line="259" w:lineRule="auto"/>
        <w:jc w:val="both"/>
        <w:rPr>
          <w:sz w:val="24"/>
        </w:rPr>
        <w:sectPr>
          <w:pgSz w:w="11900" w:h="16850"/>
          <w:pgMar w:top="1340" w:right="1000" w:bottom="800" w:left="1020" w:header="0" w:footer="605"/>
        </w:sectPr>
      </w:pPr>
    </w:p>
    <w:p>
      <w:pPr>
        <w:spacing w:before="78" w:line="259" w:lineRule="auto"/>
        <w:ind w:start="821" w:end="130" w:firstLine="0"/>
        <w:jc w:val="both"/>
        <w:rPr>
          <w:i/>
          <w:sz w:val="24"/>
        </w:rPr>
      </w:pPr>
      <w:r>
        <w:rPr>
          <w:i/>
          <w:sz w:val="24"/>
        </w:rPr>
        <w:t xml:space="preserve">5 La evaluación de la EMA de la vacuna COVID-19 de Pfizer no cumplió con </w:t>
      </w:r>
      <w:r>
        <w:rPr>
          <w:i/>
          <w:spacing w:val="-2"/>
          <w:sz w:val="24"/>
        </w:rPr>
        <w:t xml:space="preserve">la normativa de </w:t>
      </w:r>
      <w:r>
        <w:rPr>
          <w:i/>
          <w:sz w:val="24"/>
        </w:rPr>
        <w:t xml:space="preserve">la UE...</w:t>
      </w:r>
    </w:p>
    <w:p>
      <w:pPr>
        <w:pStyle w:val="BodyText"/>
        <w:spacing w:before="160" w:line="259" w:lineRule="auto"/>
        <w:ind w:start="821" w:end="127"/>
        <w:jc w:val="both"/>
        <w:rPr>
          <w:rFonts w:ascii="Arial"/>
          <w:b w:val="0"/>
        </w:rPr>
      </w:pPr>
      <w:r>
        <w:rPr>
          <w:rFonts w:ascii="Arial"/>
          <w:b w:val="0"/>
        </w:rPr>
        <w:t xml:space="preserve">5.4. </w:t>
      </w:r>
      <w:r>
        <w:rPr>
          <w:rFonts w:ascii="Arial"/>
          <w:b w:val="0"/>
        </w:rPr>
        <w:t xml:space="preserve">Resumen. </w:t>
      </w:r>
      <w:r>
        <w:rPr>
          <w:u w:val="thick"/>
        </w:rPr>
        <w:t xml:space="preserve">La </w:t>
      </w:r>
      <w:r>
        <w:rPr>
          <w:u w:val="thick"/>
        </w:rPr>
        <w:t xml:space="preserve">EMA </w:t>
      </w:r>
      <w:r>
        <w:rPr>
          <w:u w:val="thick"/>
        </w:rPr>
        <w:t xml:space="preserve">ha </w:t>
      </w:r>
      <w:r>
        <w:rPr>
          <w:u w:val="thick"/>
        </w:rPr>
        <w:t xml:space="preserve">incumplido </w:t>
      </w:r>
      <w:r>
        <w:rPr>
          <w:u w:val="thick"/>
        </w:rPr>
        <w:t xml:space="preserve">su </w:t>
      </w:r>
      <w:r>
        <w:rPr>
          <w:u w:val="thick"/>
        </w:rPr>
        <w:t xml:space="preserve">deber </w:t>
      </w:r>
      <w:r>
        <w:rPr>
          <w:u w:val="thick"/>
        </w:rPr>
        <w:t xml:space="preserve">de </w:t>
      </w:r>
      <w:r>
        <w:rPr>
          <w:u w:val="thick"/>
        </w:rPr>
        <w:t xml:space="preserve">proteger a </w:t>
      </w:r>
      <w:r>
        <w:rPr>
          <w:u w:val="thick"/>
        </w:rPr>
        <w:t xml:space="preserve">la </w:t>
      </w:r>
      <w:r>
        <w:rPr>
          <w:u w:val="thick"/>
        </w:rPr>
        <w:t xml:space="preserve">población </w:t>
      </w:r>
      <w:r>
        <w:rPr>
          <w:u w:val="thick"/>
        </w:rPr>
        <w:t xml:space="preserve">de la UE </w:t>
      </w:r>
      <w:r>
        <w:rPr>
          <w:u w:val="thick"/>
        </w:rPr>
        <w:t xml:space="preserve">de </w:t>
      </w:r>
      <w:r>
        <w:rPr>
          <w:u w:val="thick"/>
        </w:rPr>
        <w:t xml:space="preserve">los riesgos genotóxicos inherentes a la vacuna COVID-19 de Pfizer</w:t>
      </w:r>
      <w:r>
        <w:rPr/>
        <w:t xml:space="preserve">. </w:t>
      </w:r>
      <w:r>
        <w:rPr/>
        <w:t xml:space="preserve">Incluso sin entender </w:t>
      </w:r>
      <w:r>
        <w:rPr/>
        <w:t xml:space="preserve">la </w:t>
      </w:r>
      <w:r>
        <w:rPr/>
        <w:t xml:space="preserve">ciencia </w:t>
      </w:r>
      <w:r>
        <w:rPr/>
        <w:t xml:space="preserve">relevante </w:t>
      </w:r>
      <w:r>
        <w:rPr/>
        <w:t xml:space="preserve">con </w:t>
      </w:r>
      <w:r>
        <w:rPr/>
        <w:t xml:space="preserve">la </w:t>
      </w:r>
      <w:r>
        <w:rPr/>
        <w:t xml:space="preserve">profundidad </w:t>
      </w:r>
      <w:r>
        <w:rPr/>
        <w:t xml:space="preserve">que </w:t>
      </w:r>
      <w:r>
        <w:rPr/>
        <w:t xml:space="preserve">deberíamos </w:t>
      </w:r>
      <w:r>
        <w:rPr/>
        <w:t xml:space="preserve">esperar de </w:t>
      </w:r>
      <w:r>
        <w:rPr/>
        <w:t xml:space="preserve">ella, </w:t>
      </w:r>
      <w:r>
        <w:rPr/>
        <w:t xml:space="preserve">la </w:t>
      </w:r>
      <w:r>
        <w:rPr>
          <w:spacing w:val="-16"/>
        </w:rPr>
        <w:t xml:space="preserve">EMA </w:t>
      </w:r>
      <w:r>
        <w:rPr/>
        <w:t xml:space="preserve">podría haber evitado fácilmente este grave error adhiriéndose a la letra de los reglamentos de la UE existentes sobre medicamentos en general y sobre "terapias avanzadas" en particular</w:t>
      </w:r>
      <w:r>
        <w:rPr>
          <w:rFonts w:ascii="Arial"/>
          <w:b w:val="0"/>
        </w:rPr>
        <w:t xml:space="preserve">. "</w:t>
      </w:r>
    </w:p>
    <w:p>
      <w:pPr>
        <w:spacing w:before="158"/>
        <w:ind w:start="112" w:end="0" w:firstLine="0"/>
        <w:jc w:val="left"/>
        <w:rPr>
          <w:sz w:val="24"/>
        </w:rPr>
      </w:pPr>
      <w:r>
        <w:rPr>
          <w:sz w:val="24"/>
        </w:rPr>
        <w:t xml:space="preserve">Por </w:t>
      </w:r>
      <w:r>
        <w:rPr>
          <w:sz w:val="24"/>
        </w:rPr>
        <w:t xml:space="preserve">todo </w:t>
      </w:r>
      <w:r>
        <w:rPr>
          <w:sz w:val="24"/>
        </w:rPr>
        <w:t xml:space="preserve">ello</w:t>
      </w:r>
      <w:r>
        <w:rPr>
          <w:sz w:val="24"/>
        </w:rPr>
        <w:t xml:space="preserve">, </w:t>
      </w:r>
      <w:r>
        <w:rPr>
          <w:sz w:val="24"/>
        </w:rPr>
        <w:t xml:space="preserve">la </w:t>
      </w:r>
      <w:r>
        <w:rPr>
          <w:sz w:val="24"/>
        </w:rPr>
        <w:t xml:space="preserve">que suscribe en </w:t>
      </w:r>
      <w:r>
        <w:rPr>
          <w:sz w:val="24"/>
        </w:rPr>
        <w:t xml:space="preserve">sus </w:t>
      </w:r>
      <w:r>
        <w:rPr>
          <w:sz w:val="24"/>
        </w:rPr>
        <w:t xml:space="preserve">funciones/cualificaciones </w:t>
      </w:r>
      <w:r>
        <w:rPr>
          <w:spacing w:val="-2"/>
          <w:sz w:val="24"/>
        </w:rPr>
        <w:t xml:space="preserve">arriba </w:t>
      </w:r>
      <w:r>
        <w:rPr>
          <w:sz w:val="24"/>
        </w:rPr>
        <w:t xml:space="preserve">indicadas</w:t>
      </w:r>
    </w:p>
    <w:p>
      <w:pPr>
        <w:spacing w:before="183"/>
        <w:ind w:start="3152" w:end="3173" w:firstLine="0"/>
        <w:jc w:val="center"/>
        <w:rPr>
          <w:b/>
          <w:sz w:val="24"/>
        </w:rPr>
      </w:pPr>
      <w:r>
        <w:rPr>
          <w:b/>
          <w:spacing w:val="-4"/>
          <w:sz w:val="24"/>
        </w:rPr>
        <w:t xml:space="preserve">PIDE</w:t>
      </w:r>
    </w:p>
    <w:p>
      <w:pPr>
        <w:spacing w:before="180" w:line="259" w:lineRule="auto"/>
        <w:ind w:start="112" w:end="50" w:firstLine="0"/>
        <w:jc w:val="left"/>
        <w:rPr>
          <w:b/>
          <w:sz w:val="24"/>
        </w:rPr>
      </w:pPr>
      <w:r>
        <w:rPr>
          <w:b/>
          <w:sz w:val="24"/>
        </w:rPr>
        <w:t xml:space="preserve">de </w:t>
      </w:r>
      <w:r>
        <w:rPr>
          <w:b/>
          <w:sz w:val="24"/>
        </w:rPr>
        <w:t xml:space="preserve">conformidad con </w:t>
      </w:r>
      <w:r>
        <w:rPr>
          <w:b/>
          <w:sz w:val="24"/>
        </w:rPr>
        <w:t xml:space="preserve">el </w:t>
      </w:r>
      <w:r>
        <w:rPr>
          <w:b/>
          <w:sz w:val="24"/>
        </w:rPr>
        <w:t xml:space="preserve">artículo </w:t>
      </w:r>
      <w:r>
        <w:rPr>
          <w:b/>
          <w:sz w:val="24"/>
        </w:rPr>
        <w:t xml:space="preserve">15 </w:t>
      </w:r>
      <w:r>
        <w:rPr>
          <w:b/>
          <w:sz w:val="24"/>
        </w:rPr>
        <w:t xml:space="preserve">del TFUE, los </w:t>
      </w:r>
      <w:r>
        <w:rPr>
          <w:b/>
          <w:sz w:val="24"/>
        </w:rPr>
        <w:t xml:space="preserve">artículos </w:t>
      </w:r>
      <w:r>
        <w:rPr>
          <w:b/>
          <w:sz w:val="24"/>
        </w:rPr>
        <w:t xml:space="preserve">41 </w:t>
      </w:r>
      <w:r>
        <w:rPr>
          <w:b/>
          <w:sz w:val="24"/>
        </w:rPr>
        <w:t xml:space="preserve">y </w:t>
      </w:r>
      <w:r>
        <w:rPr>
          <w:b/>
          <w:sz w:val="24"/>
        </w:rPr>
        <w:t xml:space="preserve">42 de la </w:t>
      </w:r>
      <w:r>
        <w:rPr>
          <w:b/>
          <w:sz w:val="24"/>
        </w:rPr>
        <w:t xml:space="preserve">Carta </w:t>
      </w:r>
      <w:r>
        <w:rPr>
          <w:b/>
          <w:sz w:val="24"/>
        </w:rPr>
        <w:t xml:space="preserve">de los </w:t>
      </w:r>
      <w:r>
        <w:rPr>
          <w:b/>
          <w:sz w:val="24"/>
        </w:rPr>
        <w:t xml:space="preserve">Derechos </w:t>
      </w:r>
      <w:r>
        <w:rPr>
          <w:b/>
          <w:sz w:val="24"/>
        </w:rPr>
        <w:t xml:space="preserve">Fundamentales de </w:t>
      </w:r>
      <w:r>
        <w:rPr>
          <w:b/>
          <w:sz w:val="24"/>
        </w:rPr>
        <w:t xml:space="preserve">la UE</w:t>
      </w:r>
      <w:r>
        <w:rPr>
          <w:b/>
          <w:sz w:val="24"/>
        </w:rPr>
        <w:t xml:space="preserve">, el artículo 22 y la posterior Ley 241/1990 y el Decreto Legislativo (D.Lgs.) núm. 33/2013 </w:t>
      </w:r>
      <w:r>
        <w:rPr>
          <w:sz w:val="24"/>
        </w:rPr>
        <w:t xml:space="preserve">a todos los destinatarios de esta solicitud, </w:t>
      </w:r>
      <w:r>
        <w:rPr>
          <w:b/>
          <w:sz w:val="24"/>
        </w:rPr>
        <w:t xml:space="preserve">la divulgación urgente con entrega de una copia de:</w:t>
      </w:r>
    </w:p>
    <w:p>
      <w:pPr>
        <w:pStyle w:val="ListParagraph"/>
        <w:numPr>
          <w:ilvl w:val="0"/>
          <w:numId w:val="13"/>
        </w:numPr>
        <w:tabs>
          <w:tab w:val="left" w:leader="none" w:pos="834"/>
        </w:tabs>
        <w:spacing w:before="160" w:after="0" w:line="259" w:lineRule="auto"/>
        <w:ind w:start="833" w:end="128" w:hanging="360"/>
        <w:jc w:val="both"/>
        <w:rPr>
          <w:b/>
          <w:sz w:val="24"/>
        </w:rPr>
      </w:pPr>
      <w:r>
        <w:rPr>
          <w:b/>
          <w:sz w:val="24"/>
        </w:rPr>
        <w:t xml:space="preserve">la documentación que acredita la participación del </w:t>
      </w:r>
      <w:r>
        <w:rPr>
          <w:b/>
          <w:sz w:val="24"/>
        </w:rPr>
        <w:t xml:space="preserve">Comité de Terapias Avanzadas </w:t>
      </w:r>
      <w:r>
        <w:rPr>
          <w:b/>
          <w:sz w:val="24"/>
        </w:rPr>
        <w:t xml:space="preserve">en el respectivo procedimiento de autorización condicional de comercialización </w:t>
      </w:r>
      <w:r>
        <w:rPr>
          <w:b/>
          <w:sz w:val="24"/>
        </w:rPr>
        <w:t xml:space="preserve">de </w:t>
      </w:r>
      <w:r>
        <w:rPr>
          <w:b/>
          <w:sz w:val="24"/>
        </w:rPr>
        <w:t xml:space="preserve">las </w:t>
      </w:r>
      <w:r>
        <w:rPr>
          <w:b/>
          <w:sz w:val="24"/>
        </w:rPr>
        <w:t xml:space="preserve">dos </w:t>
      </w:r>
      <w:r>
        <w:rPr>
          <w:b/>
          <w:sz w:val="24"/>
        </w:rPr>
        <w:t xml:space="preserve">sustancias </w:t>
      </w:r>
      <w:r>
        <w:rPr>
          <w:b/>
          <w:sz w:val="24"/>
        </w:rPr>
        <w:t xml:space="preserve">de ARNm </w:t>
      </w:r>
      <w:r>
        <w:rPr>
          <w:b/>
          <w:sz w:val="24"/>
        </w:rPr>
        <w:t xml:space="preserve">Comirnaty </w:t>
      </w:r>
      <w:r>
        <w:rPr>
          <w:b/>
          <w:sz w:val="24"/>
        </w:rPr>
        <w:t xml:space="preserve">de </w:t>
      </w:r>
      <w:r>
        <w:rPr>
          <w:b/>
          <w:sz w:val="24"/>
        </w:rPr>
        <w:t xml:space="preserve">Pfizer/BioNTech </w:t>
      </w:r>
      <w:r>
        <w:rPr>
          <w:b/>
          <w:sz w:val="24"/>
        </w:rPr>
        <w:t xml:space="preserve">y Spikevax de Moderna, así como el dictamen emitido por el Comité de Terapias Avanzadas sobre el aspecto de la genotoxicidad, el riesgo asociado de carcinogenicidad y mutagenicidad de las dos sustancias, y</w:t>
      </w:r>
    </w:p>
    <w:p>
      <w:pPr>
        <w:pStyle w:val="ListParagraph"/>
        <w:numPr>
          <w:ilvl w:val="0"/>
          <w:numId w:val="13"/>
        </w:numPr>
        <w:tabs>
          <w:tab w:val="left" w:leader="none" w:pos="834"/>
        </w:tabs>
        <w:spacing w:before="160" w:after="0" w:line="259" w:lineRule="auto"/>
        <w:ind w:start="833" w:end="129" w:hanging="360"/>
        <w:jc w:val="both"/>
        <w:rPr>
          <w:b/>
          <w:sz w:val="24"/>
        </w:rPr>
      </w:pPr>
      <w:r>
        <w:rPr>
          <w:b/>
          <w:sz w:val="24"/>
        </w:rPr>
        <w:t xml:space="preserve">la documentación que demuestra la evaluación y el resultado respectivo de la genotoxicidad, la carcinogenicidad y la mutagenicidad de las dos sustancias Comirnaty de Pfizer/BioNTech y Spikevax de Moderna.</w:t>
      </w:r>
    </w:p>
    <w:p>
      <w:pPr>
        <w:spacing w:before="160" w:line="259" w:lineRule="auto"/>
        <w:ind w:start="112" w:end="129" w:firstLine="0"/>
        <w:jc w:val="both"/>
        <w:rPr>
          <w:b/>
          <w:sz w:val="24"/>
        </w:rPr>
      </w:pPr>
      <w:r>
        <w:rPr>
          <w:b/>
          <w:sz w:val="24"/>
        </w:rPr>
        <w:t xml:space="preserve">A las instituciones italianas destinatarias (Ministerio de Sanidad, Istituto Superiore della Sanità y AIFA), además de lo anterior, también se les pide que divulguen con la entrega de una copia de:</w:t>
      </w:r>
    </w:p>
    <w:p>
      <w:pPr>
        <w:pStyle w:val="ListParagraph"/>
        <w:numPr>
          <w:ilvl w:val="0"/>
          <w:numId w:val="13"/>
        </w:numPr>
        <w:tabs>
          <w:tab w:val="left" w:leader="none" w:pos="834"/>
        </w:tabs>
        <w:spacing w:before="159" w:after="0" w:line="259" w:lineRule="auto"/>
        <w:ind w:start="833" w:end="128" w:hanging="360"/>
        <w:jc w:val="both"/>
        <w:rPr>
          <w:b/>
          <w:sz w:val="24"/>
        </w:rPr>
      </w:pPr>
      <w:r>
        <w:rPr>
          <w:b/>
          <w:sz w:val="24"/>
        </w:rPr>
        <w:t xml:space="preserve">el dictamen de la Comisión Técnica y Científica del Gobierno italiano sobre la genotoxicidad, la carcinogenicidad y la mutagenicidad de las dos sustancias ARNm Comirnaty de Pfizer/BioNTech y Spikevax de Moderna.</w:t>
      </w:r>
    </w:p>
    <w:p>
      <w:pPr>
        <w:spacing w:before="157" w:line="259" w:lineRule="auto"/>
        <w:ind w:start="112" w:end="126" w:firstLine="0"/>
        <w:jc w:val="both"/>
        <w:rPr>
          <w:sz w:val="24"/>
        </w:rPr>
      </w:pPr>
      <w:r>
        <w:rPr>
          <w:sz w:val="24"/>
        </w:rPr>
        <w:t xml:space="preserve">Considerando </w:t>
      </w:r>
      <w:r>
        <w:rPr>
          <w:sz w:val="24"/>
        </w:rPr>
        <w:t xml:space="preserve">el </w:t>
      </w:r>
      <w:r>
        <w:rPr>
          <w:sz w:val="24"/>
        </w:rPr>
        <w:t xml:space="preserve">enorme </w:t>
      </w:r>
      <w:r>
        <w:rPr>
          <w:sz w:val="24"/>
        </w:rPr>
        <w:t xml:space="preserve">riesgo </w:t>
      </w:r>
      <w:r>
        <w:rPr>
          <w:sz w:val="24"/>
        </w:rPr>
        <w:t xml:space="preserve">que </w:t>
      </w:r>
      <w:r>
        <w:rPr>
          <w:sz w:val="24"/>
        </w:rPr>
        <w:t xml:space="preserve">corre </w:t>
      </w:r>
      <w:r>
        <w:rPr>
          <w:sz w:val="24"/>
        </w:rPr>
        <w:t xml:space="preserve">toda </w:t>
      </w:r>
      <w:r>
        <w:rPr>
          <w:sz w:val="24"/>
        </w:rPr>
        <w:t xml:space="preserve">la </w:t>
      </w:r>
      <w:r>
        <w:rPr>
          <w:sz w:val="24"/>
        </w:rPr>
        <w:t xml:space="preserve">población, y </w:t>
      </w:r>
      <w:r>
        <w:rPr>
          <w:sz w:val="24"/>
        </w:rPr>
        <w:t xml:space="preserve">principalmente </w:t>
      </w:r>
      <w:r>
        <w:rPr>
          <w:sz w:val="24"/>
        </w:rPr>
        <w:t xml:space="preserve">los menores, </w:t>
      </w:r>
      <w:r>
        <w:rPr>
          <w:sz w:val="24"/>
        </w:rPr>
        <w:t xml:space="preserve">con </w:t>
      </w:r>
      <w:r>
        <w:rPr>
          <w:sz w:val="24"/>
        </w:rPr>
        <w:t xml:space="preserve">la inoculación repetida de sustancias experimentales que pueden potencialmente mutar el genoma humano, </w:t>
      </w:r>
      <w:r>
        <w:rPr>
          <w:b/>
          <w:sz w:val="24"/>
        </w:rPr>
        <w:t xml:space="preserve">es </w:t>
      </w:r>
      <w:r>
        <w:rPr>
          <w:b/>
          <w:sz w:val="24"/>
        </w:rPr>
        <w:t xml:space="preserve">con </w:t>
      </w:r>
      <w:r>
        <w:rPr>
          <w:b/>
          <w:sz w:val="24"/>
        </w:rPr>
        <w:t xml:space="preserve">la </w:t>
      </w:r>
      <w:r>
        <w:rPr>
          <w:b/>
          <w:sz w:val="24"/>
        </w:rPr>
        <w:t xml:space="preserve">máxima </w:t>
      </w:r>
      <w:r>
        <w:rPr>
          <w:b/>
          <w:sz w:val="24"/>
        </w:rPr>
        <w:t xml:space="preserve">urgencia </w:t>
      </w:r>
      <w:r>
        <w:rPr>
          <w:b/>
          <w:sz w:val="24"/>
        </w:rPr>
        <w:t xml:space="preserve">necesaria </w:t>
      </w:r>
      <w:r>
        <w:rPr>
          <w:b/>
          <w:sz w:val="24"/>
        </w:rPr>
        <w:t xml:space="preserve">la </w:t>
      </w:r>
      <w:r>
        <w:rPr>
          <w:b/>
          <w:sz w:val="24"/>
        </w:rPr>
        <w:t xml:space="preserve">absoluta </w:t>
      </w:r>
      <w:r>
        <w:rPr>
          <w:b/>
          <w:sz w:val="24"/>
        </w:rPr>
        <w:t xml:space="preserve">transparencia </w:t>
      </w:r>
      <w:r>
        <w:rPr>
          <w:sz w:val="24"/>
        </w:rPr>
        <w:t xml:space="preserve">en </w:t>
      </w:r>
      <w:r>
        <w:rPr>
          <w:sz w:val="24"/>
        </w:rPr>
        <w:t xml:space="preserve">punto </w:t>
      </w:r>
      <w:r>
        <w:rPr>
          <w:sz w:val="24"/>
        </w:rPr>
        <w:t xml:space="preserve">a la evaluación realizada (o no realizada) (por la EMA y la Comisión Europea en </w:t>
      </w:r>
      <w:r>
        <w:rPr>
          <w:sz w:val="24"/>
        </w:rPr>
        <w:t xml:space="preserve">general, </w:t>
      </w:r>
      <w:r>
        <w:rPr>
          <w:sz w:val="24"/>
        </w:rPr>
        <w:t xml:space="preserve">y </w:t>
      </w:r>
      <w:r>
        <w:rPr>
          <w:sz w:val="24"/>
        </w:rPr>
        <w:t xml:space="preserve">por </w:t>
      </w:r>
      <w:r>
        <w:rPr>
          <w:sz w:val="24"/>
        </w:rPr>
        <w:t xml:space="preserve">el </w:t>
      </w:r>
      <w:r>
        <w:rPr>
          <w:sz w:val="24"/>
        </w:rPr>
        <w:t xml:space="preserve">Comité </w:t>
      </w:r>
      <w:r>
        <w:rPr>
          <w:sz w:val="24"/>
        </w:rPr>
        <w:t xml:space="preserve">Técnico </w:t>
      </w:r>
      <w:r>
        <w:rPr>
          <w:sz w:val="24"/>
        </w:rPr>
        <w:t xml:space="preserve">Científico </w:t>
      </w:r>
      <w:r>
        <w:rPr>
          <w:sz w:val="24"/>
        </w:rPr>
        <w:t xml:space="preserve">establecido </w:t>
      </w:r>
      <w:r>
        <w:rPr>
          <w:sz w:val="24"/>
        </w:rPr>
        <w:t xml:space="preserve">por el </w:t>
      </w:r>
      <w:r>
        <w:rPr>
          <w:sz w:val="24"/>
        </w:rPr>
        <w:t xml:space="preserve">Decreto </w:t>
      </w:r>
      <w:r>
        <w:rPr>
          <w:sz w:val="24"/>
        </w:rPr>
        <w:t xml:space="preserve">del </w:t>
      </w:r>
      <w:r>
        <w:rPr>
          <w:sz w:val="24"/>
        </w:rPr>
        <w:t xml:space="preserve">Jefe </w:t>
      </w:r>
      <w:r>
        <w:rPr>
          <w:sz w:val="24"/>
        </w:rPr>
        <w:t xml:space="preserve">del </w:t>
      </w:r>
      <w:r>
        <w:rPr>
          <w:sz w:val="24"/>
        </w:rPr>
        <w:t xml:space="preserve">Departamento de Protección Civil 371 del </w:t>
      </w:r>
      <w:r>
        <w:rPr>
          <w:sz w:val="24"/>
        </w:rPr>
        <w:t xml:space="preserve">5.2.2020, así </w:t>
      </w:r>
      <w:r>
        <w:rPr>
          <w:sz w:val="24"/>
        </w:rPr>
        <w:t xml:space="preserve">como por el Ministerio de Sanidad italiano, la AIFA y el Istituto Superiore della Sanità) del riesgo de genotoxicidad, carcinogenicidad y mutagenicidad relacionado con la inoculación (repetida) de las dos sustancias de ARNm (Comirnaty de Pfizer/BioNTech y Spikevax de Moderna) para la salud pública, es decir, los ciudadanos italianos/europeos.</w:t>
      </w:r>
    </w:p>
    <w:p>
      <w:pPr>
        <w:spacing w:before="160" w:line="259" w:lineRule="auto"/>
        <w:ind w:start="112" w:end="132" w:firstLine="0"/>
        <w:jc w:val="both"/>
        <w:rPr>
          <w:b/>
          <w:sz w:val="24"/>
        </w:rPr>
      </w:pPr>
      <w:r>
        <w:rPr>
          <w:b/>
          <w:sz w:val="24"/>
        </w:rPr>
        <w:t xml:space="preserve">Ante el gravísimo peligro (periculum in mora) de un enorme daño irreversible para la salud pública </w:t>
      </w:r>
      <w:r>
        <w:rPr>
          <w:b/>
          <w:sz w:val="24"/>
          <w:u w:val="thick"/>
        </w:rPr>
        <w:t xml:space="preserve">se solicita una respuesta con la máxima urgencia</w:t>
      </w:r>
      <w:r>
        <w:rPr>
          <w:b/>
          <w:sz w:val="24"/>
        </w:rPr>
        <w:t xml:space="preserve">.</w:t>
      </w:r>
    </w:p>
    <w:p>
      <w:pPr>
        <w:spacing w:after="0" w:line="259" w:lineRule="auto"/>
        <w:jc w:val="both"/>
        <w:rPr>
          <w:sz w:val="24"/>
        </w:rPr>
        <w:sectPr>
          <w:pgSz w:w="11900" w:h="16850"/>
          <w:pgMar w:top="1340" w:right="1000" w:bottom="800" w:left="1020" w:header="0" w:footer="605"/>
        </w:sectPr>
      </w:pPr>
    </w:p>
    <w:p>
      <w:pPr>
        <w:spacing w:before="78" w:line="259" w:lineRule="auto"/>
        <w:ind w:start="112" w:end="126" w:firstLine="0"/>
        <w:jc w:val="both"/>
        <w:rPr>
          <w:sz w:val="24"/>
        </w:rPr>
      </w:pPr>
      <w:r>
        <w:rPr>
          <w:sz w:val="24"/>
        </w:rPr>
        <w:t xml:space="preserve">Cada día más que pasa en el que se administran sustancias que pueden alterar el ADN humano, </w:t>
      </w:r>
      <w:r>
        <w:rPr>
          <w:sz w:val="24"/>
        </w:rPr>
        <w:t xml:space="preserve">a menudo </w:t>
      </w:r>
      <w:r>
        <w:rPr>
          <w:sz w:val="24"/>
        </w:rPr>
        <w:t xml:space="preserve">incluso </w:t>
      </w:r>
      <w:r>
        <w:rPr>
          <w:sz w:val="24"/>
        </w:rPr>
        <w:t xml:space="preserve">bajo </w:t>
      </w:r>
      <w:r>
        <w:rPr>
          <w:sz w:val="24"/>
        </w:rPr>
        <w:t xml:space="preserve">coacción </w:t>
      </w:r>
      <w:r>
        <w:rPr>
          <w:sz w:val="24"/>
        </w:rPr>
        <w:t xml:space="preserve">(véase </w:t>
      </w:r>
      <w:r>
        <w:rPr>
          <w:sz w:val="24"/>
        </w:rPr>
        <w:t xml:space="preserve">Italia </w:t>
      </w:r>
      <w:r>
        <w:rPr>
          <w:sz w:val="24"/>
        </w:rPr>
        <w:t xml:space="preserve">con </w:t>
      </w:r>
      <w:r>
        <w:rPr>
          <w:sz w:val="24"/>
        </w:rPr>
        <w:t xml:space="preserve">la </w:t>
      </w:r>
      <w:r>
        <w:rPr>
          <w:sz w:val="24"/>
        </w:rPr>
        <w:t xml:space="preserve">"vacunación" </w:t>
      </w:r>
      <w:r>
        <w:rPr>
          <w:sz w:val="24"/>
        </w:rPr>
        <w:t xml:space="preserve">obligatoria </w:t>
      </w:r>
      <w:r>
        <w:rPr>
          <w:sz w:val="24"/>
        </w:rPr>
        <w:t xml:space="preserve">contra el Covid-19 para los </w:t>
      </w:r>
      <w:r>
        <w:rPr>
          <w:sz w:val="24"/>
        </w:rPr>
        <w:t xml:space="preserve">trabajadores sanitarios, para los mayores de 50 años según el Decreto Ley 44/2021 y otros y las decisiones tomadas por los jueces italianos en contra de la voluntad de los padres de los menores), aumenta la </w:t>
      </w:r>
      <w:r>
        <w:rPr>
          <w:sz w:val="24"/>
        </w:rPr>
        <w:t xml:space="preserve">gravísima </w:t>
      </w:r>
      <w:r>
        <w:rPr>
          <w:sz w:val="24"/>
        </w:rPr>
        <w:t xml:space="preserve">y </w:t>
      </w:r>
      <w:r>
        <w:rPr>
          <w:sz w:val="24"/>
        </w:rPr>
        <w:t xml:space="preserve">totalmente </w:t>
      </w:r>
      <w:r>
        <w:rPr>
          <w:sz w:val="24"/>
        </w:rPr>
        <w:t xml:space="preserve">inaceptable </w:t>
      </w:r>
      <w:r>
        <w:rPr>
          <w:sz w:val="24"/>
        </w:rPr>
        <w:t xml:space="preserve">amenaza </w:t>
      </w:r>
      <w:r>
        <w:rPr>
          <w:sz w:val="24"/>
        </w:rPr>
        <w:t xml:space="preserve">para </w:t>
      </w:r>
      <w:r>
        <w:rPr>
          <w:sz w:val="24"/>
        </w:rPr>
        <w:t xml:space="preserve">la salud </w:t>
      </w:r>
      <w:r>
        <w:rPr>
          <w:sz w:val="24"/>
        </w:rPr>
        <w:t xml:space="preserve">pública </w:t>
      </w:r>
      <w:r>
        <w:rPr>
          <w:sz w:val="24"/>
        </w:rPr>
        <w:t xml:space="preserve">y </w:t>
      </w:r>
      <w:r>
        <w:rPr>
          <w:sz w:val="24"/>
        </w:rPr>
        <w:t xml:space="preserve">para </w:t>
      </w:r>
      <w:r>
        <w:rPr>
          <w:sz w:val="24"/>
        </w:rPr>
        <w:t xml:space="preserve">la </w:t>
      </w:r>
      <w:r>
        <w:rPr>
          <w:sz w:val="24"/>
        </w:rPr>
        <w:t xml:space="preserve">salud </w:t>
      </w:r>
      <w:r>
        <w:rPr>
          <w:sz w:val="24"/>
        </w:rPr>
        <w:t xml:space="preserve">de </w:t>
      </w:r>
      <w:r>
        <w:rPr>
          <w:sz w:val="24"/>
        </w:rPr>
        <w:t xml:space="preserve">cada uno de los ciudadanos italianos/europeos.</w:t>
      </w:r>
    </w:p>
    <w:p>
      <w:pPr>
        <w:spacing w:before="158" w:line="259" w:lineRule="auto"/>
        <w:ind w:start="112" w:end="131" w:firstLine="0"/>
        <w:jc w:val="both"/>
        <w:rPr>
          <w:sz w:val="24"/>
        </w:rPr>
      </w:pPr>
      <w:r>
        <w:rPr>
          <w:sz w:val="24"/>
        </w:rPr>
        <w:t xml:space="preserve">Esta solicitud se presenta en versión inglesa e italiana. Para la solicitud dirigida a la Comisión Europea y a la EMA (y a los respectivos </w:t>
      </w:r>
      <w:r>
        <w:rPr>
          <w:spacing w:val="-2"/>
          <w:sz w:val="24"/>
        </w:rPr>
        <w:t xml:space="preserve">responsables</w:t>
      </w:r>
      <w:r>
        <w:rPr>
          <w:sz w:val="24"/>
        </w:rPr>
        <w:t xml:space="preserve">) en caso de </w:t>
      </w:r>
      <w:r>
        <w:rPr>
          <w:sz w:val="24"/>
        </w:rPr>
        <w:t xml:space="preserve">incoherencias </w:t>
      </w:r>
      <w:r>
        <w:rPr>
          <w:sz w:val="24"/>
        </w:rPr>
        <w:t xml:space="preserve">prevalecerá </w:t>
      </w:r>
      <w:r>
        <w:rPr>
          <w:sz w:val="24"/>
        </w:rPr>
        <w:t xml:space="preserve">la </w:t>
      </w:r>
      <w:r>
        <w:rPr>
          <w:sz w:val="24"/>
        </w:rPr>
        <w:t xml:space="preserve">versión </w:t>
      </w:r>
      <w:r>
        <w:rPr>
          <w:sz w:val="24"/>
        </w:rPr>
        <w:t xml:space="preserve">inglesa, </w:t>
      </w:r>
      <w:r>
        <w:rPr>
          <w:sz w:val="24"/>
        </w:rPr>
        <w:t xml:space="preserve">mientras que </w:t>
      </w:r>
      <w:r>
        <w:rPr>
          <w:sz w:val="24"/>
        </w:rPr>
        <w:t xml:space="preserve">para </w:t>
      </w:r>
      <w:r>
        <w:rPr>
          <w:sz w:val="24"/>
        </w:rPr>
        <w:t xml:space="preserve">la </w:t>
      </w:r>
      <w:r>
        <w:rPr>
          <w:sz w:val="24"/>
        </w:rPr>
        <w:t xml:space="preserve">solicitud </w:t>
      </w:r>
      <w:r>
        <w:rPr>
          <w:sz w:val="24"/>
        </w:rPr>
        <w:t xml:space="preserve">dirigida </w:t>
      </w:r>
      <w:r>
        <w:rPr>
          <w:sz w:val="24"/>
        </w:rPr>
        <w:t xml:space="preserve">a </w:t>
      </w:r>
      <w:r>
        <w:rPr>
          <w:spacing w:val="-2"/>
          <w:sz w:val="24"/>
        </w:rPr>
        <w:t xml:space="preserve">las </w:t>
      </w:r>
      <w:r>
        <w:rPr>
          <w:spacing w:val="-2"/>
          <w:sz w:val="24"/>
        </w:rPr>
        <w:t xml:space="preserve">autoridades </w:t>
      </w:r>
      <w:r>
        <w:rPr>
          <w:spacing w:val="-2"/>
          <w:sz w:val="24"/>
        </w:rPr>
        <w:t xml:space="preserve">italianas </w:t>
      </w:r>
      <w:r>
        <w:rPr>
          <w:spacing w:val="-2"/>
          <w:sz w:val="24"/>
        </w:rPr>
        <w:t xml:space="preserve">y a </w:t>
      </w:r>
      <w:r>
        <w:rPr>
          <w:spacing w:val="-2"/>
          <w:sz w:val="24"/>
        </w:rPr>
        <w:t xml:space="preserve">los respectivos </w:t>
      </w:r>
      <w:r>
        <w:rPr>
          <w:spacing w:val="-2"/>
          <w:sz w:val="24"/>
        </w:rPr>
        <w:t xml:space="preserve">responsables </w:t>
      </w:r>
      <w:r>
        <w:rPr>
          <w:spacing w:val="-2"/>
          <w:sz w:val="24"/>
        </w:rPr>
        <w:t xml:space="preserve">prevalecerá </w:t>
      </w:r>
      <w:r>
        <w:rPr>
          <w:spacing w:val="-2"/>
          <w:sz w:val="24"/>
        </w:rPr>
        <w:t xml:space="preserve">la </w:t>
      </w:r>
      <w:r>
        <w:rPr>
          <w:spacing w:val="-2"/>
          <w:sz w:val="24"/>
        </w:rPr>
        <w:t xml:space="preserve">versión </w:t>
      </w:r>
      <w:r>
        <w:rPr>
          <w:spacing w:val="-2"/>
          <w:sz w:val="24"/>
        </w:rPr>
        <w:t xml:space="preserve">italiana</w:t>
      </w:r>
      <w:r>
        <w:rPr>
          <w:spacing w:val="-2"/>
          <w:sz w:val="24"/>
        </w:rPr>
        <w:t xml:space="preserve">.</w:t>
      </w:r>
    </w:p>
    <w:p>
      <w:pPr>
        <w:spacing w:before="159"/>
        <w:ind w:start="112" w:end="0" w:firstLine="0"/>
        <w:jc w:val="left"/>
        <w:rPr>
          <w:sz w:val="24"/>
        </w:rPr>
      </w:pPr>
      <w:r>
        <w:rPr>
          <w:sz w:val="24"/>
        </w:rPr>
        <w:t xml:space="preserve">Sujeto a </w:t>
      </w:r>
      <w:r>
        <w:rPr>
          <w:sz w:val="24"/>
        </w:rPr>
        <w:t xml:space="preserve">cualquier </w:t>
      </w:r>
      <w:r>
        <w:rPr>
          <w:spacing w:val="-2"/>
          <w:sz w:val="24"/>
        </w:rPr>
        <w:t xml:space="preserve">acción </w:t>
      </w:r>
      <w:r>
        <w:rPr>
          <w:sz w:val="24"/>
        </w:rPr>
        <w:t xml:space="preserve">legal </w:t>
      </w:r>
      <w:r>
        <w:rPr>
          <w:sz w:val="24"/>
        </w:rPr>
        <w:t xml:space="preserve">útil</w:t>
      </w:r>
      <w:r>
        <w:rPr>
          <w:spacing w:val="-2"/>
          <w:sz w:val="24"/>
        </w:rPr>
        <w:t xml:space="preserve">.</w:t>
      </w:r>
    </w:p>
    <w:p>
      <w:pPr>
        <w:spacing w:before="0" w:line="240" w:lineRule="auto"/>
        <w:rPr>
          <w:sz w:val="26"/>
        </w:rPr>
      </w:pPr>
    </w:p>
    <w:p>
      <w:pPr>
        <w:spacing w:before="9" w:line="240" w:lineRule="auto"/>
        <w:rPr>
          <w:sz w:val="29"/>
        </w:rPr>
      </w:pPr>
    </w:p>
    <w:p>
      <w:pPr>
        <w:spacing w:before="0"/>
        <w:ind w:start="112" w:end="0" w:firstLine="0"/>
        <w:jc w:val="left"/>
        <w:rPr>
          <w:sz w:val="24"/>
        </w:rPr>
      </w:pPr>
      <w:r>
        <w:rPr>
          <w:sz w:val="24"/>
        </w:rPr>
        <w:t xml:space="preserve">Lovaina-la-Nueva </w:t>
      </w:r>
      <w:r>
        <w:rPr>
          <w:sz w:val="24"/>
        </w:rPr>
        <w:t xml:space="preserve">/ </w:t>
      </w:r>
      <w:r>
        <w:rPr>
          <w:sz w:val="24"/>
        </w:rPr>
        <w:t xml:space="preserve">Bolzano </w:t>
      </w:r>
      <w:r>
        <w:rPr>
          <w:sz w:val="24"/>
        </w:rPr>
        <w:t xml:space="preserve">/ </w:t>
      </w:r>
      <w:r>
        <w:rPr>
          <w:sz w:val="24"/>
        </w:rPr>
        <w:t xml:space="preserve">Milán </w:t>
      </w:r>
      <w:r>
        <w:rPr>
          <w:sz w:val="24"/>
        </w:rPr>
        <w:t xml:space="preserve">22 </w:t>
      </w:r>
      <w:r>
        <w:rPr>
          <w:sz w:val="24"/>
        </w:rPr>
        <w:t xml:space="preserve">de julio </w:t>
      </w:r>
      <w:r>
        <w:rPr>
          <w:spacing w:val="-4"/>
          <w:sz w:val="24"/>
        </w:rPr>
        <w:t xml:space="preserve">de 2022</w:t>
      </w:r>
    </w:p>
    <w:p>
      <w:pPr>
        <w:spacing w:before="0" w:line="240" w:lineRule="auto"/>
        <w:rPr>
          <w:sz w:val="26"/>
        </w:rPr>
      </w:pPr>
    </w:p>
    <w:p>
      <w:pPr>
        <w:spacing w:before="6" w:line="240" w:lineRule="auto"/>
        <w:rPr>
          <w:sz w:val="29"/>
        </w:rPr>
      </w:pPr>
    </w:p>
    <w:p>
      <w:pPr>
        <w:spacing w:before="0"/>
        <w:ind w:start="112" w:end="0" w:firstLine="0"/>
        <w:jc w:val="left"/>
        <w:rPr>
          <w:sz w:val="24"/>
        </w:rPr>
      </w:pPr>
      <w:r>
        <w:rPr>
          <w:sz w:val="24"/>
        </w:rPr>
        <w:t xml:space="preserve">Avv.DDr. </w:t>
      </w:r>
      <w:r>
        <w:rPr>
          <w:sz w:val="24"/>
        </w:rPr>
        <w:t xml:space="preserve">Renate </w:t>
      </w:r>
      <w:r>
        <w:rPr>
          <w:spacing w:val="-2"/>
          <w:sz w:val="24"/>
        </w:rPr>
        <w:t xml:space="preserve">Holzeisen</w:t>
      </w:r>
    </w:p>
    <w:p>
      <w:pPr>
        <w:spacing w:before="0" w:line="240" w:lineRule="auto"/>
        <w:rPr>
          <w:sz w:val="26"/>
        </w:rPr>
      </w:pPr>
    </w:p>
    <w:p>
      <w:pPr>
        <w:spacing w:before="8" w:line="240" w:lineRule="auto"/>
        <w:rPr>
          <w:sz w:val="29"/>
        </w:rPr>
      </w:pPr>
    </w:p>
    <w:p>
      <w:pPr>
        <w:spacing w:before="1"/>
        <w:ind w:start="112" w:end="0" w:firstLine="0"/>
        <w:jc w:val="left"/>
        <w:rPr>
          <w:sz w:val="24"/>
        </w:rPr>
      </w:pPr>
      <w:r>
        <w:rPr>
          <w:spacing w:val="-2"/>
          <w:sz w:val="24"/>
          <w:u w:val="single"/>
        </w:rPr>
        <w:t xml:space="preserve">Anexos:</w:t>
      </w:r>
    </w:p>
    <w:p>
      <w:pPr>
        <w:pStyle w:val="ListParagraph"/>
        <w:numPr>
          <w:ilvl w:val="0"/>
          <w:numId w:val="14"/>
        </w:numPr>
        <w:tabs>
          <w:tab w:val="left" w:leader="none" w:pos="541"/>
        </w:tabs>
        <w:spacing w:before="180" w:after="0" w:line="240" w:lineRule="auto"/>
        <w:ind w:start="540" w:end="0" w:hanging="361"/>
        <w:jc w:val="left"/>
        <w:rPr>
          <w:sz w:val="24"/>
        </w:rPr>
      </w:pPr>
      <w:r>
        <w:rPr>
          <w:sz w:val="24"/>
        </w:rPr>
        <w:t xml:space="preserve">Apoderado </w:t>
      </w:r>
      <w:r>
        <w:rPr>
          <w:sz w:val="24"/>
        </w:rPr>
        <w:t xml:space="preserve">de la </w:t>
      </w:r>
      <w:r>
        <w:rPr>
          <w:spacing w:val="-2"/>
          <w:sz w:val="24"/>
        </w:rPr>
        <w:t xml:space="preserve">junta directiva </w:t>
      </w:r>
      <w:r>
        <w:rPr>
          <w:sz w:val="24"/>
        </w:rPr>
        <w:t xml:space="preserve">de la CHD</w:t>
      </w:r>
      <w:r>
        <w:rPr>
          <w:spacing w:val="-2"/>
          <w:sz w:val="24"/>
        </w:rPr>
        <w:t xml:space="preserve">;</w:t>
      </w:r>
    </w:p>
    <w:p>
      <w:pPr>
        <w:pStyle w:val="ListParagraph"/>
        <w:numPr>
          <w:ilvl w:val="0"/>
          <w:numId w:val="14"/>
        </w:numPr>
        <w:tabs>
          <w:tab w:val="left" w:leader="none" w:pos="541"/>
        </w:tabs>
        <w:spacing w:before="182" w:after="0" w:line="240" w:lineRule="auto"/>
        <w:ind w:start="540" w:end="0" w:hanging="361"/>
        <w:jc w:val="left"/>
        <w:rPr>
          <w:sz w:val="24"/>
        </w:rPr>
      </w:pPr>
      <w:r>
        <w:rPr>
          <w:sz w:val="24"/>
        </w:rPr>
        <w:t xml:space="preserve">Avv.DDr. </w:t>
      </w:r>
      <w:r>
        <w:rPr>
          <w:sz w:val="24"/>
        </w:rPr>
        <w:t xml:space="preserve">Renate </w:t>
      </w:r>
      <w:r>
        <w:rPr>
          <w:sz w:val="24"/>
        </w:rPr>
        <w:t xml:space="preserve">Holzeisen, </w:t>
      </w:r>
      <w:r>
        <w:rPr>
          <w:spacing w:val="-2"/>
          <w:sz w:val="24"/>
        </w:rPr>
        <w:t xml:space="preserve">tarjeta de </w:t>
      </w:r>
      <w:r>
        <w:rPr>
          <w:sz w:val="24"/>
        </w:rPr>
        <w:t xml:space="preserve">identidad </w:t>
      </w:r>
      <w:r>
        <w:rPr>
          <w:sz w:val="24"/>
        </w:rPr>
        <w:t xml:space="preserve">de abogado</w:t>
      </w:r>
      <w:r>
        <w:rPr>
          <w:spacing w:val="-2"/>
          <w:sz w:val="24"/>
        </w:rPr>
        <w:t xml:space="preserve">;</w:t>
      </w:r>
    </w:p>
    <w:p>
      <w:pPr>
        <w:pStyle w:val="ListParagraph"/>
        <w:numPr>
          <w:ilvl w:val="0"/>
          <w:numId w:val="14"/>
        </w:numPr>
        <w:tabs>
          <w:tab w:val="left" w:leader="none" w:pos="541"/>
        </w:tabs>
        <w:spacing w:before="183" w:after="0" w:line="259" w:lineRule="auto"/>
        <w:ind w:start="540" w:end="808" w:hanging="361"/>
        <w:jc w:val="left"/>
        <w:rPr>
          <w:sz w:val="24"/>
        </w:rPr>
      </w:pPr>
      <w:r>
        <w:rPr>
          <w:sz w:val="24"/>
        </w:rPr>
        <w:t xml:space="preserve">Experiencia </w:t>
      </w:r>
      <w:r>
        <w:rPr>
          <w:sz w:val="24"/>
        </w:rPr>
        <w:t xml:space="preserve">en </w:t>
      </w:r>
      <w:r>
        <w:rPr>
          <w:sz w:val="24"/>
        </w:rPr>
        <w:t xml:space="preserve">los </w:t>
      </w:r>
      <w:r>
        <w:rPr>
          <w:sz w:val="24"/>
        </w:rPr>
        <w:t xml:space="preserve">riesgos </w:t>
      </w:r>
      <w:r>
        <w:rPr>
          <w:sz w:val="24"/>
        </w:rPr>
        <w:t xml:space="preserve">genotóxicos </w:t>
      </w:r>
      <w:r>
        <w:rPr>
          <w:sz w:val="24"/>
        </w:rPr>
        <w:t xml:space="preserve">de </w:t>
      </w:r>
      <w:r>
        <w:rPr>
          <w:sz w:val="24"/>
        </w:rPr>
        <w:t xml:space="preserve">la </w:t>
      </w:r>
      <w:r>
        <w:rPr>
          <w:sz w:val="24"/>
        </w:rPr>
        <w:t xml:space="preserve">vacuna </w:t>
      </w:r>
      <w:r>
        <w:rPr>
          <w:sz w:val="24"/>
        </w:rPr>
        <w:t xml:space="preserve">Covid-19 </w:t>
      </w:r>
      <w:r>
        <w:rPr>
          <w:sz w:val="24"/>
        </w:rPr>
        <w:t xml:space="preserve">de Pfizer</w:t>
      </w:r>
      <w:r>
        <w:rPr>
          <w:sz w:val="24"/>
        </w:rPr>
        <w:t xml:space="preserve">, </w:t>
      </w:r>
      <w:r>
        <w:rPr>
          <w:sz w:val="24"/>
        </w:rPr>
        <w:t xml:space="preserve">Dr.med. </w:t>
      </w:r>
      <w:r>
        <w:rPr>
          <w:sz w:val="24"/>
        </w:rPr>
        <w:t xml:space="preserve">Michael Palmer, Prof.Dr.med. Sucharit Bhakdi, Dr.med. Wolfgang Wodarg;</w:t>
      </w:r>
    </w:p>
    <w:p>
      <w:pPr>
        <w:pStyle w:val="ListParagraph"/>
        <w:numPr>
          <w:ilvl w:val="0"/>
          <w:numId w:val="14"/>
        </w:numPr>
        <w:tabs>
          <w:tab w:val="left" w:leader="none" w:pos="541"/>
        </w:tabs>
        <w:spacing w:before="160" w:after="0" w:line="240" w:lineRule="auto"/>
        <w:ind w:start="540" w:end="0" w:hanging="361"/>
        <w:jc w:val="left"/>
        <w:rPr>
          <w:sz w:val="24"/>
        </w:rPr>
      </w:pPr>
      <w:r>
        <w:rPr>
          <w:sz w:val="24"/>
        </w:rPr>
        <w:t xml:space="preserve">Avv.DDr. </w:t>
      </w:r>
      <w:r>
        <w:rPr>
          <w:sz w:val="24"/>
        </w:rPr>
        <w:t xml:space="preserve">Renate </w:t>
      </w:r>
      <w:r>
        <w:rPr>
          <w:sz w:val="24"/>
        </w:rPr>
        <w:t xml:space="preserve">Holzeisen, </w:t>
      </w:r>
      <w:r>
        <w:rPr>
          <w:spacing w:val="-2"/>
          <w:sz w:val="24"/>
        </w:rPr>
        <w:t xml:space="preserve">documento de identidad.</w:t>
      </w:r>
    </w:p>
    <w:sectPr>
      <w:pgSz w:w="11900" w:h="16850"/>
      <w:pgMar w:top="1340" w:right="1000" w:bottom="800" w:left="1020" w:header="0" w:footer="60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 w:name="Arial Unicode MS">
    <w:altName w:val="Arial Unicode MS"/>
    <w:charset w:val="0"/>
    <w:family w:val="swiss"/>
    <w:pitch w:val="variable"/>
  </w:font>
  <w:font w:name="Courier New">
    <w:altName w:val="Courier New"/>
    <w:charset w:val="0"/>
    <w:family w:val="roman"/>
    <w:pitch w:val="fixed"/>
  </w:font>
  <w:font w:name="Calibri">
    <w:altName w:val="Calibri"/>
    <w:charset w:val="0"/>
    <w:family w:val="swiss"/>
    <w:pitch w:val="variable"/>
  </w:font>
</w:fonts>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type id="_x0000_t202" coordsize="21600,21600" o:spt="202" path="m,l,21600r21600,l21600,xe">
          <v:stroke joinstyle="miter"/>
          <v:path gradientshapeok="t" o:connecttype="rect"/>
        </v:shapetype>
        <v:shape id="docshape1" style="position:absolute;margin-left:165.460007pt;margin-top:800.808228pt;width:267.350pt;height:12.6pt;mso-position-horizontal-relative:page;mso-position-vertical-relative:page;z-index:-15923200" filled="false" stroked="false" type="#_x0000_t202">
          <v:textbox inset="0,0,0,0">
            <w:txbxContent>
              <w:p>
                <w:pPr>
                  <w:spacing w:before="23"/>
                  <w:ind w:start="20" w:end="0" w:firstLine="0"/>
                  <w:jc w:val="left"/>
                  <w:rPr>
                    <w:rFonts w:ascii="Times New Roman"/>
                    <w:sz w:val="18"/>
                  </w:rPr>
                </w:pPr>
                <w:r>
                  <w:rPr>
                    <w:rFonts w:ascii="Times New Roman"/>
                    <w:w w:val="105"/>
                    <w:sz w:val="18"/>
                  </w:rPr>
                  <w:t xml:space="preserve">55/307 </w:t>
                </w:r>
                <w:r>
                  <w:rPr>
                    <w:rFonts w:ascii="Times New Roman"/>
                    <w:w w:val="105"/>
                    <w:sz w:val="18"/>
                  </w:rPr>
                  <w:t xml:space="preserve">Grand </w:t>
                </w:r>
                <w:r>
                  <w:rPr>
                    <w:rFonts w:ascii="Times New Roman"/>
                    <w:w w:val="105"/>
                    <w:sz w:val="18"/>
                  </w:rPr>
                  <w:t xml:space="preserve">Rue, </w:t>
                </w:r>
                <w:r>
                  <w:rPr>
                    <w:rFonts w:ascii="Times New Roman"/>
                    <w:w w:val="105"/>
                    <w:sz w:val="18"/>
                  </w:rPr>
                  <w:t xml:space="preserve">1348 </w:t>
                </w:r>
                <w:r>
                  <w:rPr>
                    <w:rFonts w:ascii="Times New Roman"/>
                    <w:w w:val="105"/>
                    <w:sz w:val="18"/>
                  </w:rPr>
                  <w:t xml:space="preserve">Louvain-la-Neuve, </w:t>
                </w:r>
                <w:r>
                  <w:rPr>
                    <w:rFonts w:ascii="Times New Roman"/>
                    <w:w w:val="105"/>
                    <w:sz w:val="18"/>
                  </w:rPr>
                  <w:t xml:space="preserve">Bélgica </w:t>
                </w:r>
                <w:r>
                  <w:rPr>
                    <w:rFonts w:ascii="Times New Roman"/>
                    <w:spacing w:val="-2"/>
                    <w:w w:val="105"/>
                    <w:sz w:val="18"/>
                  </w:rPr>
                  <w:t xml:space="preserve">chdeurope.org</w:t>
                </w:r>
              </w:p>
            </w:txbxContent>
          </v:textbox>
          <w10:wrap type="none"/>
        </v:shape>
      </w:pict>
    </w:r>
    <w:r>
      <w:rPr/>
      <w:pict>
        <v:shape id="docshape2" style="position:absolute;margin-left:518.619995pt;margin-top:803pt;width:18.3pt;height:13.05pt;mso-position-horizontal-relative:page;mso-position-vertical-relative:page;z-index:-15922688" filled="false" stroked="false" type="#_x0000_t202">
          <v:textbox inset="0,0,0,0">
            <w:txbxContent>
              <w:p>
                <w:pPr>
                  <w:spacing w:before="0" w:line="245" w:lineRule="exact"/>
                  <w:ind w:start="60" w:end="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 xml:space="preserve">10</w:t>
                </w:r>
                <w:r>
                  <w:rPr>
                    <w:rFonts w:ascii="Calibri"/>
                    <w:spacing w:val="-5"/>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540" w:hanging="361"/>
        <w:jc w:val="left"/>
      </w:pPr>
      <w:rPr>
        <w:rFonts w:hint="default" w:ascii="Arial-BoldItalicMT" w:hAnsi="Arial-BoldItalicMT" w:eastAsia="Arial-BoldItalicMT" w:cs="Arial-BoldItalicMT"/>
        <w:b/>
        <w:bCs/>
        <w:i/>
        <w:iCs/>
        <w:w w:val="100"/>
        <w:sz w:val="24"/>
        <w:szCs w:val="24"/>
        <w:lang w:val="en-US" w:eastAsia="en-US" w:bidi="ar-SA"/>
      </w:rPr>
    </w:lvl>
    <w:lvl w:ilvl="1">
      <w:start w:val="0"/>
      <w:numFmt w:val="bullet"/>
      <w:lvlText w:val="•"/>
      <w:lvlJc w:val="left"/>
      <w:pPr>
        <w:ind w:left="1473" w:hanging="361"/>
      </w:pPr>
      <w:rPr>
        <w:rFonts w:hint="default"/>
        <w:lang w:val="en-US" w:eastAsia="en-US" w:bidi="ar-SA"/>
      </w:rPr>
    </w:lvl>
    <w:lvl w:ilvl="2">
      <w:start w:val="0"/>
      <w:numFmt w:val="bullet"/>
      <w:lvlText w:val="•"/>
      <w:lvlJc w:val="left"/>
      <w:pPr>
        <w:ind w:left="2407" w:hanging="361"/>
      </w:pPr>
      <w:rPr>
        <w:rFonts w:hint="default"/>
        <w:lang w:val="en-US" w:eastAsia="en-US" w:bidi="ar-SA"/>
      </w:rPr>
    </w:lvl>
    <w:lvl w:ilvl="3">
      <w:start w:val="0"/>
      <w:numFmt w:val="bullet"/>
      <w:lvlText w:val="•"/>
      <w:lvlJc w:val="left"/>
      <w:pPr>
        <w:ind w:left="3341" w:hanging="361"/>
      </w:pPr>
      <w:rPr>
        <w:rFonts w:hint="default"/>
        <w:lang w:val="en-US" w:eastAsia="en-US" w:bidi="ar-SA"/>
      </w:rPr>
    </w:lvl>
    <w:lvl w:ilvl="4">
      <w:start w:val="0"/>
      <w:numFmt w:val="bullet"/>
      <w:lvlText w:val="•"/>
      <w:lvlJc w:val="left"/>
      <w:pPr>
        <w:ind w:left="4275" w:hanging="361"/>
      </w:pPr>
      <w:rPr>
        <w:rFonts w:hint="default"/>
        <w:lang w:val="en-US" w:eastAsia="en-US" w:bidi="ar-SA"/>
      </w:rPr>
    </w:lvl>
    <w:lvl w:ilvl="5">
      <w:start w:val="0"/>
      <w:numFmt w:val="bullet"/>
      <w:lvlText w:val="•"/>
      <w:lvlJc w:val="left"/>
      <w:pPr>
        <w:ind w:left="5209" w:hanging="361"/>
      </w:pPr>
      <w:rPr>
        <w:rFonts w:hint="default"/>
        <w:lang w:val="en-US" w:eastAsia="en-US" w:bidi="ar-SA"/>
      </w:rPr>
    </w:lvl>
    <w:lvl w:ilvl="6">
      <w:start w:val="0"/>
      <w:numFmt w:val="bullet"/>
      <w:lvlText w:val="•"/>
      <w:lvlJc w:val="left"/>
      <w:pPr>
        <w:ind w:left="6143" w:hanging="361"/>
      </w:pPr>
      <w:rPr>
        <w:rFonts w:hint="default"/>
        <w:lang w:val="en-US" w:eastAsia="en-US" w:bidi="ar-SA"/>
      </w:rPr>
    </w:lvl>
    <w:lvl w:ilvl="7">
      <w:start w:val="0"/>
      <w:numFmt w:val="bullet"/>
      <w:lvlText w:val="•"/>
      <w:lvlJc w:val="left"/>
      <w:pPr>
        <w:ind w:left="7077" w:hanging="361"/>
      </w:pPr>
      <w:rPr>
        <w:rFonts w:hint="default"/>
        <w:lang w:val="en-US" w:eastAsia="en-US" w:bidi="ar-SA"/>
      </w:rPr>
    </w:lvl>
    <w:lvl w:ilvl="8">
      <w:start w:val="0"/>
      <w:numFmt w:val="bullet"/>
      <w:lvlText w:val="•"/>
      <w:lvlJc w:val="left"/>
      <w:pPr>
        <w:ind w:left="8011" w:hanging="361"/>
      </w:pPr>
      <w:rPr>
        <w:rFonts w:hint="default"/>
        <w:lang w:val="en-US" w:eastAsia="en-US" w:bidi="ar-SA"/>
      </w:rPr>
    </w:lvl>
  </w:abstractNum>
  <w:abstractNum w:abstractNumId="12">
    <w:multiLevelType w:val="hybridMultilevel"/>
    <w:lvl w:ilvl="0">
      <w:start w:val="1"/>
      <w:numFmt w:val="decimal"/>
      <w:lvlText w:val="%1."/>
      <w:lvlJc w:val="left"/>
      <w:pPr>
        <w:ind w:left="833" w:hanging="360"/>
        <w:jc w:val="left"/>
      </w:pPr>
      <w:rPr>
        <w:rFonts w:hint="default" w:ascii="Arial" w:hAnsi="Arial" w:eastAsia="Arial" w:cs="Arial"/>
        <w:b/>
        <w:bCs/>
        <w:i w:val="0"/>
        <w:iCs w:val="0"/>
        <w:w w:val="100"/>
        <w:sz w:val="24"/>
        <w:szCs w:val="24"/>
        <w:lang w:val="en-US" w:eastAsia="en-US" w:bidi="ar-SA"/>
      </w:rPr>
    </w:lvl>
    <w:lvl w:ilvl="1">
      <w:start w:val="0"/>
      <w:numFmt w:val="bullet"/>
      <w:lvlText w:val="•"/>
      <w:lvlJc w:val="left"/>
      <w:pPr>
        <w:ind w:left="1743" w:hanging="360"/>
      </w:pPr>
      <w:rPr>
        <w:rFonts w:hint="default"/>
        <w:lang w:val="en-US" w:eastAsia="en-US" w:bidi="ar-SA"/>
      </w:rPr>
    </w:lvl>
    <w:lvl w:ilvl="2">
      <w:start w:val="0"/>
      <w:numFmt w:val="bullet"/>
      <w:lvlText w:val="•"/>
      <w:lvlJc w:val="left"/>
      <w:pPr>
        <w:ind w:left="2647" w:hanging="360"/>
      </w:pPr>
      <w:rPr>
        <w:rFonts w:hint="default"/>
        <w:lang w:val="en-US" w:eastAsia="en-US" w:bidi="ar-SA"/>
      </w:rPr>
    </w:lvl>
    <w:lvl w:ilvl="3">
      <w:start w:val="0"/>
      <w:numFmt w:val="bullet"/>
      <w:lvlText w:val="•"/>
      <w:lvlJc w:val="left"/>
      <w:pPr>
        <w:ind w:left="3551" w:hanging="360"/>
      </w:pPr>
      <w:rPr>
        <w:rFonts w:hint="default"/>
        <w:lang w:val="en-US" w:eastAsia="en-US" w:bidi="ar-SA"/>
      </w:rPr>
    </w:lvl>
    <w:lvl w:ilvl="4">
      <w:start w:val="0"/>
      <w:numFmt w:val="bullet"/>
      <w:lvlText w:val="•"/>
      <w:lvlJc w:val="left"/>
      <w:pPr>
        <w:ind w:left="4455" w:hanging="360"/>
      </w:pPr>
      <w:rPr>
        <w:rFonts w:hint="default"/>
        <w:lang w:val="en-US" w:eastAsia="en-US" w:bidi="ar-SA"/>
      </w:rPr>
    </w:lvl>
    <w:lvl w:ilvl="5">
      <w:start w:val="0"/>
      <w:numFmt w:val="bullet"/>
      <w:lvlText w:val="•"/>
      <w:lvlJc w:val="left"/>
      <w:pPr>
        <w:ind w:left="5359" w:hanging="360"/>
      </w:pPr>
      <w:rPr>
        <w:rFonts w:hint="default"/>
        <w:lang w:val="en-US" w:eastAsia="en-US" w:bidi="ar-SA"/>
      </w:rPr>
    </w:lvl>
    <w:lvl w:ilvl="6">
      <w:start w:val="0"/>
      <w:numFmt w:val="bullet"/>
      <w:lvlText w:val="•"/>
      <w:lvlJc w:val="left"/>
      <w:pPr>
        <w:ind w:left="6263" w:hanging="360"/>
      </w:pPr>
      <w:rPr>
        <w:rFonts w:hint="default"/>
        <w:lang w:val="en-US" w:eastAsia="en-US" w:bidi="ar-SA"/>
      </w:rPr>
    </w:lvl>
    <w:lvl w:ilvl="7">
      <w:start w:val="0"/>
      <w:numFmt w:val="bullet"/>
      <w:lvlText w:val="•"/>
      <w:lvlJc w:val="left"/>
      <w:pPr>
        <w:ind w:left="7167" w:hanging="360"/>
      </w:pPr>
      <w:rPr>
        <w:rFonts w:hint="default"/>
        <w:lang w:val="en-US" w:eastAsia="en-US" w:bidi="ar-SA"/>
      </w:rPr>
    </w:lvl>
    <w:lvl w:ilvl="8">
      <w:start w:val="0"/>
      <w:numFmt w:val="bullet"/>
      <w:lvlText w:val="•"/>
      <w:lvlJc w:val="left"/>
      <w:pPr>
        <w:ind w:left="8071" w:hanging="360"/>
      </w:pPr>
      <w:rPr>
        <w:rFonts w:hint="default"/>
        <w:lang w:val="en-US" w:eastAsia="en-US" w:bidi="ar-SA"/>
      </w:rPr>
    </w:lvl>
  </w:abstractNum>
  <w:abstractNum w:abstractNumId="11">
    <w:multiLevelType w:val="hybridMultilevel"/>
    <w:lvl w:ilvl="0">
      <w:start w:val="2"/>
      <w:numFmt w:val="decimal"/>
      <w:lvlText w:val="%1"/>
      <w:lvlJc w:val="left"/>
      <w:pPr>
        <w:ind w:left="1673" w:hanging="720"/>
        <w:jc w:val="left"/>
      </w:pPr>
      <w:rPr>
        <w:rFonts w:hint="default"/>
        <w:lang w:val="en-US" w:eastAsia="en-US" w:bidi="ar-SA"/>
      </w:rPr>
    </w:lvl>
    <w:lvl w:ilvl="1">
      <w:start w:val="4"/>
      <w:numFmt w:val="decimal"/>
      <w:lvlText w:val="%1.%2."/>
      <w:lvlJc w:val="left"/>
      <w:pPr>
        <w:ind w:left="1673" w:hanging="720"/>
        <w:jc w:val="left"/>
      </w:pPr>
      <w:rPr>
        <w:rFonts w:hint="default" w:ascii="Arial-BoldItalicMT" w:hAnsi="Arial-BoldItalicMT" w:eastAsia="Arial-BoldItalicMT" w:cs="Arial-BoldItalicMT"/>
        <w:b/>
        <w:bCs/>
        <w:i/>
        <w:iCs/>
        <w:w w:val="99"/>
        <w:sz w:val="24"/>
        <w:szCs w:val="24"/>
        <w:lang w:val="en-US" w:eastAsia="en-US" w:bidi="ar-SA"/>
      </w:rPr>
    </w:lvl>
    <w:lvl w:ilvl="2">
      <w:start w:val="3"/>
      <w:numFmt w:val="decimal"/>
      <w:lvlText w:val="%3."/>
      <w:lvlJc w:val="left"/>
      <w:pPr>
        <w:ind w:left="1531" w:hanging="406"/>
        <w:jc w:val="right"/>
      </w:pPr>
      <w:rPr>
        <w:rFonts w:hint="default" w:ascii="Arial-BoldItalicMT" w:hAnsi="Arial-BoldItalicMT" w:eastAsia="Arial-BoldItalicMT" w:cs="Arial-BoldItalicMT"/>
        <w:b/>
        <w:bCs/>
        <w:i/>
        <w:iCs/>
        <w:w w:val="100"/>
        <w:sz w:val="24"/>
        <w:szCs w:val="24"/>
        <w:lang w:val="en-US" w:eastAsia="en-US" w:bidi="ar-SA"/>
      </w:rPr>
    </w:lvl>
    <w:lvl w:ilvl="3">
      <w:start w:val="0"/>
      <w:numFmt w:val="bullet"/>
      <w:lvlText w:val="•"/>
      <w:lvlJc w:val="left"/>
      <w:pPr>
        <w:ind w:left="3502" w:hanging="406"/>
      </w:pPr>
      <w:rPr>
        <w:rFonts w:hint="default"/>
        <w:lang w:val="en-US" w:eastAsia="en-US" w:bidi="ar-SA"/>
      </w:rPr>
    </w:lvl>
    <w:lvl w:ilvl="4">
      <w:start w:val="0"/>
      <w:numFmt w:val="bullet"/>
      <w:lvlText w:val="•"/>
      <w:lvlJc w:val="left"/>
      <w:pPr>
        <w:ind w:left="4413" w:hanging="406"/>
      </w:pPr>
      <w:rPr>
        <w:rFonts w:hint="default"/>
        <w:lang w:val="en-US" w:eastAsia="en-US" w:bidi="ar-SA"/>
      </w:rPr>
    </w:lvl>
    <w:lvl w:ilvl="5">
      <w:start w:val="0"/>
      <w:numFmt w:val="bullet"/>
      <w:lvlText w:val="•"/>
      <w:lvlJc w:val="left"/>
      <w:pPr>
        <w:ind w:left="5324" w:hanging="406"/>
      </w:pPr>
      <w:rPr>
        <w:rFonts w:hint="default"/>
        <w:lang w:val="en-US" w:eastAsia="en-US" w:bidi="ar-SA"/>
      </w:rPr>
    </w:lvl>
    <w:lvl w:ilvl="6">
      <w:start w:val="0"/>
      <w:numFmt w:val="bullet"/>
      <w:lvlText w:val="•"/>
      <w:lvlJc w:val="left"/>
      <w:pPr>
        <w:ind w:left="6235" w:hanging="406"/>
      </w:pPr>
      <w:rPr>
        <w:rFonts w:hint="default"/>
        <w:lang w:val="en-US" w:eastAsia="en-US" w:bidi="ar-SA"/>
      </w:rPr>
    </w:lvl>
    <w:lvl w:ilvl="7">
      <w:start w:val="0"/>
      <w:numFmt w:val="bullet"/>
      <w:lvlText w:val="•"/>
      <w:lvlJc w:val="left"/>
      <w:pPr>
        <w:ind w:left="7146" w:hanging="406"/>
      </w:pPr>
      <w:rPr>
        <w:rFonts w:hint="default"/>
        <w:lang w:val="en-US" w:eastAsia="en-US" w:bidi="ar-SA"/>
      </w:rPr>
    </w:lvl>
    <w:lvl w:ilvl="8">
      <w:start w:val="0"/>
      <w:numFmt w:val="bullet"/>
      <w:lvlText w:val="•"/>
      <w:lvlJc w:val="left"/>
      <w:pPr>
        <w:ind w:left="8057" w:hanging="406"/>
      </w:pPr>
      <w:rPr>
        <w:rFonts w:hint="default"/>
        <w:lang w:val="en-US" w:eastAsia="en-US" w:bidi="ar-SA"/>
      </w:rPr>
    </w:lvl>
  </w:abstractNum>
  <w:abstractNum w:abstractNumId="10">
    <w:multiLevelType w:val="hybridMultilevel"/>
    <w:lvl w:ilvl="0">
      <w:start w:val="1"/>
      <w:numFmt w:val="decimal"/>
      <w:lvlText w:val="%1."/>
      <w:lvlJc w:val="left"/>
      <w:pPr>
        <w:ind w:left="1608" w:hanging="360"/>
        <w:jc w:val="left"/>
      </w:pPr>
      <w:rPr>
        <w:rFonts w:hint="default" w:ascii="Arial" w:hAnsi="Arial" w:eastAsia="Arial" w:cs="Arial"/>
        <w:b w:val="0"/>
        <w:bCs w:val="0"/>
        <w:i/>
        <w:iCs/>
        <w:w w:val="100"/>
        <w:sz w:val="24"/>
        <w:szCs w:val="24"/>
        <w:lang w:val="en-US" w:eastAsia="en-US" w:bidi="ar-SA"/>
      </w:rPr>
    </w:lvl>
    <w:lvl w:ilvl="1">
      <w:start w:val="1"/>
      <w:numFmt w:val="decimal"/>
      <w:lvlText w:val="%1.%2."/>
      <w:lvlJc w:val="left"/>
      <w:pPr>
        <w:ind w:left="1673" w:hanging="720"/>
        <w:jc w:val="left"/>
      </w:pPr>
      <w:rPr>
        <w:rFonts w:hint="default" w:ascii="Arial-BoldItalicMT" w:hAnsi="Arial-BoldItalicMT" w:eastAsia="Arial-BoldItalicMT" w:cs="Arial-BoldItalicMT"/>
        <w:b/>
        <w:bCs/>
        <w:i/>
        <w:iCs/>
        <w:w w:val="99"/>
        <w:sz w:val="24"/>
        <w:szCs w:val="24"/>
        <w:lang w:val="en-US" w:eastAsia="en-US" w:bidi="ar-SA"/>
      </w:rPr>
    </w:lvl>
    <w:lvl w:ilvl="2">
      <w:start w:val="0"/>
      <w:numFmt w:val="bullet"/>
      <w:lvlText w:val="•"/>
      <w:lvlJc w:val="left"/>
      <w:pPr>
        <w:ind w:left="2591" w:hanging="720"/>
      </w:pPr>
      <w:rPr>
        <w:rFonts w:hint="default"/>
        <w:lang w:val="en-US" w:eastAsia="en-US" w:bidi="ar-SA"/>
      </w:rPr>
    </w:lvl>
    <w:lvl w:ilvl="3">
      <w:start w:val="0"/>
      <w:numFmt w:val="bullet"/>
      <w:lvlText w:val="•"/>
      <w:lvlJc w:val="left"/>
      <w:pPr>
        <w:ind w:left="3502" w:hanging="720"/>
      </w:pPr>
      <w:rPr>
        <w:rFonts w:hint="default"/>
        <w:lang w:val="en-US" w:eastAsia="en-US" w:bidi="ar-SA"/>
      </w:rPr>
    </w:lvl>
    <w:lvl w:ilvl="4">
      <w:start w:val="0"/>
      <w:numFmt w:val="bullet"/>
      <w:lvlText w:val="•"/>
      <w:lvlJc w:val="left"/>
      <w:pPr>
        <w:ind w:left="4413" w:hanging="720"/>
      </w:pPr>
      <w:rPr>
        <w:rFonts w:hint="default"/>
        <w:lang w:val="en-US" w:eastAsia="en-US" w:bidi="ar-SA"/>
      </w:rPr>
    </w:lvl>
    <w:lvl w:ilvl="5">
      <w:start w:val="0"/>
      <w:numFmt w:val="bullet"/>
      <w:lvlText w:val="•"/>
      <w:lvlJc w:val="left"/>
      <w:pPr>
        <w:ind w:left="5324" w:hanging="720"/>
      </w:pPr>
      <w:rPr>
        <w:rFonts w:hint="default"/>
        <w:lang w:val="en-US" w:eastAsia="en-US" w:bidi="ar-SA"/>
      </w:rPr>
    </w:lvl>
    <w:lvl w:ilvl="6">
      <w:start w:val="0"/>
      <w:numFmt w:val="bullet"/>
      <w:lvlText w:val="•"/>
      <w:lvlJc w:val="left"/>
      <w:pPr>
        <w:ind w:left="6235" w:hanging="720"/>
      </w:pPr>
      <w:rPr>
        <w:rFonts w:hint="default"/>
        <w:lang w:val="en-US" w:eastAsia="en-US" w:bidi="ar-SA"/>
      </w:rPr>
    </w:lvl>
    <w:lvl w:ilvl="7">
      <w:start w:val="0"/>
      <w:numFmt w:val="bullet"/>
      <w:lvlText w:val="•"/>
      <w:lvlJc w:val="left"/>
      <w:pPr>
        <w:ind w:left="7146" w:hanging="720"/>
      </w:pPr>
      <w:rPr>
        <w:rFonts w:hint="default"/>
        <w:lang w:val="en-US" w:eastAsia="en-US" w:bidi="ar-SA"/>
      </w:rPr>
    </w:lvl>
    <w:lvl w:ilvl="8">
      <w:start w:val="0"/>
      <w:numFmt w:val="bullet"/>
      <w:lvlText w:val="•"/>
      <w:lvlJc w:val="left"/>
      <w:pPr>
        <w:ind w:left="8057" w:hanging="720"/>
      </w:pPr>
      <w:rPr>
        <w:rFonts w:hint="default"/>
        <w:lang w:val="en-US" w:eastAsia="en-US" w:bidi="ar-SA"/>
      </w:rPr>
    </w:lvl>
  </w:abstractNum>
  <w:abstractNum w:abstractNumId="9">
    <w:multiLevelType w:val="hybridMultilevel"/>
    <w:lvl w:ilvl="0">
      <w:start w:val="3"/>
      <w:numFmt w:val="decimal"/>
      <w:lvlText w:val="%1."/>
      <w:lvlJc w:val="left"/>
      <w:pPr>
        <w:ind w:left="821" w:hanging="315"/>
        <w:jc w:val="left"/>
      </w:pPr>
      <w:rPr>
        <w:rFonts w:hint="default" w:ascii="Arial" w:hAnsi="Arial" w:eastAsia="Arial" w:cs="Arial"/>
        <w:b w:val="0"/>
        <w:bCs w:val="0"/>
        <w:i/>
        <w:iCs/>
        <w:w w:val="100"/>
        <w:sz w:val="24"/>
        <w:szCs w:val="24"/>
        <w:lang w:val="en-US" w:eastAsia="en-US" w:bidi="ar-SA"/>
      </w:rPr>
    </w:lvl>
    <w:lvl w:ilvl="1">
      <w:start w:val="0"/>
      <w:numFmt w:val="bullet"/>
      <w:lvlText w:val="•"/>
      <w:lvlJc w:val="left"/>
      <w:pPr>
        <w:ind w:left="1901" w:hanging="360"/>
      </w:pPr>
      <w:rPr>
        <w:rFonts w:hint="default" w:ascii="Arial" w:hAnsi="Arial" w:eastAsia="Arial" w:cs="Arial"/>
        <w:b w:val="0"/>
        <w:bCs w:val="0"/>
        <w:i w:val="0"/>
        <w:iCs w:val="0"/>
        <w:w w:val="131"/>
        <w:sz w:val="24"/>
        <w:szCs w:val="24"/>
        <w:lang w:val="en-US" w:eastAsia="en-US" w:bidi="ar-SA"/>
      </w:rPr>
    </w:lvl>
    <w:lvl w:ilvl="2">
      <w:start w:val="0"/>
      <w:numFmt w:val="bullet"/>
      <w:lvlText w:val="•"/>
      <w:lvlJc w:val="left"/>
      <w:pPr>
        <w:ind w:left="2786" w:hanging="360"/>
      </w:pPr>
      <w:rPr>
        <w:rFonts w:hint="default"/>
        <w:lang w:val="en-US" w:eastAsia="en-US" w:bidi="ar-SA"/>
      </w:rPr>
    </w:lvl>
    <w:lvl w:ilvl="3">
      <w:start w:val="0"/>
      <w:numFmt w:val="bullet"/>
      <w:lvlText w:val="•"/>
      <w:lvlJc w:val="left"/>
      <w:pPr>
        <w:ind w:left="3673" w:hanging="360"/>
      </w:pPr>
      <w:rPr>
        <w:rFonts w:hint="default"/>
        <w:lang w:val="en-US" w:eastAsia="en-US" w:bidi="ar-SA"/>
      </w:rPr>
    </w:lvl>
    <w:lvl w:ilvl="4">
      <w:start w:val="0"/>
      <w:numFmt w:val="bullet"/>
      <w:lvlText w:val="•"/>
      <w:lvlJc w:val="left"/>
      <w:pPr>
        <w:ind w:left="4559" w:hanging="360"/>
      </w:pPr>
      <w:rPr>
        <w:rFonts w:hint="default"/>
        <w:lang w:val="en-US" w:eastAsia="en-US" w:bidi="ar-SA"/>
      </w:rPr>
    </w:lvl>
    <w:lvl w:ilvl="5">
      <w:start w:val="0"/>
      <w:numFmt w:val="bullet"/>
      <w:lvlText w:val="•"/>
      <w:lvlJc w:val="left"/>
      <w:pPr>
        <w:ind w:left="5446" w:hanging="360"/>
      </w:pPr>
      <w:rPr>
        <w:rFonts w:hint="default"/>
        <w:lang w:val="en-US" w:eastAsia="en-US" w:bidi="ar-SA"/>
      </w:rPr>
    </w:lvl>
    <w:lvl w:ilvl="6">
      <w:start w:val="0"/>
      <w:numFmt w:val="bullet"/>
      <w:lvlText w:val="•"/>
      <w:lvlJc w:val="left"/>
      <w:pPr>
        <w:ind w:left="6332" w:hanging="360"/>
      </w:pPr>
      <w:rPr>
        <w:rFonts w:hint="default"/>
        <w:lang w:val="en-US" w:eastAsia="en-US" w:bidi="ar-SA"/>
      </w:rPr>
    </w:lvl>
    <w:lvl w:ilvl="7">
      <w:start w:val="0"/>
      <w:numFmt w:val="bullet"/>
      <w:lvlText w:val="•"/>
      <w:lvlJc w:val="left"/>
      <w:pPr>
        <w:ind w:left="7219" w:hanging="360"/>
      </w:pPr>
      <w:rPr>
        <w:rFonts w:hint="default"/>
        <w:lang w:val="en-US" w:eastAsia="en-US" w:bidi="ar-SA"/>
      </w:rPr>
    </w:lvl>
    <w:lvl w:ilvl="8">
      <w:start w:val="0"/>
      <w:numFmt w:val="bullet"/>
      <w:lvlText w:val="•"/>
      <w:lvlJc w:val="left"/>
      <w:pPr>
        <w:ind w:left="8106" w:hanging="360"/>
      </w:pPr>
      <w:rPr>
        <w:rFonts w:hint="default"/>
        <w:lang w:val="en-US" w:eastAsia="en-US" w:bidi="ar-SA"/>
      </w:rPr>
    </w:lvl>
  </w:abstractNum>
  <w:abstractNum w:abstractNumId="8">
    <w:multiLevelType w:val="hybridMultilevel"/>
    <w:lvl w:ilvl="0">
      <w:start w:val="1"/>
      <w:numFmt w:val="lowerLetter"/>
      <w:lvlText w:val="%1)"/>
      <w:lvlJc w:val="left"/>
      <w:pPr>
        <w:ind w:left="1193" w:hanging="360"/>
        <w:jc w:val="left"/>
      </w:pPr>
      <w:rPr>
        <w:rFonts w:hint="default" w:ascii="Arial-BoldItalicMT" w:hAnsi="Arial-BoldItalicMT" w:eastAsia="Arial-BoldItalicMT" w:cs="Arial-BoldItalicMT"/>
        <w:b/>
        <w:bCs/>
        <w:i/>
        <w:iCs/>
        <w:w w:val="99"/>
        <w:sz w:val="24"/>
        <w:szCs w:val="24"/>
        <w:lang w:val="en-US" w:eastAsia="en-US" w:bidi="ar-SA"/>
      </w:rPr>
    </w:lvl>
    <w:lvl w:ilvl="1">
      <w:start w:val="0"/>
      <w:numFmt w:val="bullet"/>
      <w:lvlText w:val="•"/>
      <w:lvlJc w:val="left"/>
      <w:pPr>
        <w:ind w:left="2067" w:hanging="360"/>
      </w:pPr>
      <w:rPr>
        <w:rFonts w:hint="default"/>
        <w:lang w:val="en-US" w:eastAsia="en-US" w:bidi="ar-SA"/>
      </w:rPr>
    </w:lvl>
    <w:lvl w:ilvl="2">
      <w:start w:val="0"/>
      <w:numFmt w:val="bullet"/>
      <w:lvlText w:val="•"/>
      <w:lvlJc w:val="left"/>
      <w:pPr>
        <w:ind w:left="2935" w:hanging="360"/>
      </w:pPr>
      <w:rPr>
        <w:rFonts w:hint="default"/>
        <w:lang w:val="en-US" w:eastAsia="en-US" w:bidi="ar-SA"/>
      </w:rPr>
    </w:lvl>
    <w:lvl w:ilvl="3">
      <w:start w:val="0"/>
      <w:numFmt w:val="bullet"/>
      <w:lvlText w:val="•"/>
      <w:lvlJc w:val="left"/>
      <w:pPr>
        <w:ind w:left="3803" w:hanging="360"/>
      </w:pPr>
      <w:rPr>
        <w:rFonts w:hint="default"/>
        <w:lang w:val="en-US" w:eastAsia="en-US" w:bidi="ar-SA"/>
      </w:rPr>
    </w:lvl>
    <w:lvl w:ilvl="4">
      <w:start w:val="0"/>
      <w:numFmt w:val="bullet"/>
      <w:lvlText w:val="•"/>
      <w:lvlJc w:val="left"/>
      <w:pPr>
        <w:ind w:left="4671" w:hanging="360"/>
      </w:pPr>
      <w:rPr>
        <w:rFonts w:hint="default"/>
        <w:lang w:val="en-US" w:eastAsia="en-US" w:bidi="ar-SA"/>
      </w:rPr>
    </w:lvl>
    <w:lvl w:ilvl="5">
      <w:start w:val="0"/>
      <w:numFmt w:val="bullet"/>
      <w:lvlText w:val="•"/>
      <w:lvlJc w:val="left"/>
      <w:pPr>
        <w:ind w:left="5539" w:hanging="360"/>
      </w:pPr>
      <w:rPr>
        <w:rFonts w:hint="default"/>
        <w:lang w:val="en-US" w:eastAsia="en-US" w:bidi="ar-SA"/>
      </w:rPr>
    </w:lvl>
    <w:lvl w:ilvl="6">
      <w:start w:val="0"/>
      <w:numFmt w:val="bullet"/>
      <w:lvlText w:val="•"/>
      <w:lvlJc w:val="left"/>
      <w:pPr>
        <w:ind w:left="6407" w:hanging="360"/>
      </w:pPr>
      <w:rPr>
        <w:rFonts w:hint="default"/>
        <w:lang w:val="en-US" w:eastAsia="en-US" w:bidi="ar-SA"/>
      </w:rPr>
    </w:lvl>
    <w:lvl w:ilvl="7">
      <w:start w:val="0"/>
      <w:numFmt w:val="bullet"/>
      <w:lvlText w:val="•"/>
      <w:lvlJc w:val="left"/>
      <w:pPr>
        <w:ind w:left="7275" w:hanging="360"/>
      </w:pPr>
      <w:rPr>
        <w:rFonts w:hint="default"/>
        <w:lang w:val="en-US" w:eastAsia="en-US" w:bidi="ar-SA"/>
      </w:rPr>
    </w:lvl>
    <w:lvl w:ilvl="8">
      <w:start w:val="0"/>
      <w:numFmt w:val="bullet"/>
      <w:lvlText w:val="•"/>
      <w:lvlJc w:val="left"/>
      <w:pPr>
        <w:ind w:left="8143" w:hanging="360"/>
      </w:pPr>
      <w:rPr>
        <w:rFonts w:hint="default"/>
        <w:lang w:val="en-US" w:eastAsia="en-US" w:bidi="ar-SA"/>
      </w:rPr>
    </w:lvl>
  </w:abstractNum>
  <w:abstractNum w:abstractNumId="7">
    <w:multiLevelType w:val="hybridMultilevel"/>
    <w:lvl w:ilvl="0">
      <w:start w:val="0"/>
      <w:numFmt w:val="bullet"/>
      <w:lvlText w:val="-"/>
      <w:lvlJc w:val="left"/>
      <w:pPr>
        <w:ind w:left="833" w:hanging="135"/>
      </w:pPr>
      <w:rPr>
        <w:rFonts w:hint="default" w:ascii="Arial-BoldItalicMT" w:hAnsi="Arial-BoldItalicMT" w:eastAsia="Arial-BoldItalicMT" w:cs="Arial-BoldItalicMT"/>
        <w:b/>
        <w:bCs/>
        <w:i/>
        <w:iCs/>
        <w:w w:val="99"/>
        <w:sz w:val="24"/>
        <w:szCs w:val="24"/>
        <w:lang w:val="en-US" w:eastAsia="en-US" w:bidi="ar-SA"/>
      </w:rPr>
    </w:lvl>
    <w:lvl w:ilvl="1">
      <w:start w:val="0"/>
      <w:numFmt w:val="bullet"/>
      <w:lvlText w:val="•"/>
      <w:lvlJc w:val="left"/>
      <w:pPr>
        <w:ind w:left="1743" w:hanging="135"/>
      </w:pPr>
      <w:rPr>
        <w:rFonts w:hint="default"/>
        <w:lang w:val="en-US" w:eastAsia="en-US" w:bidi="ar-SA"/>
      </w:rPr>
    </w:lvl>
    <w:lvl w:ilvl="2">
      <w:start w:val="0"/>
      <w:numFmt w:val="bullet"/>
      <w:lvlText w:val="•"/>
      <w:lvlJc w:val="left"/>
      <w:pPr>
        <w:ind w:left="2647" w:hanging="135"/>
      </w:pPr>
      <w:rPr>
        <w:rFonts w:hint="default"/>
        <w:lang w:val="en-US" w:eastAsia="en-US" w:bidi="ar-SA"/>
      </w:rPr>
    </w:lvl>
    <w:lvl w:ilvl="3">
      <w:start w:val="0"/>
      <w:numFmt w:val="bullet"/>
      <w:lvlText w:val="•"/>
      <w:lvlJc w:val="left"/>
      <w:pPr>
        <w:ind w:left="3551" w:hanging="135"/>
      </w:pPr>
      <w:rPr>
        <w:rFonts w:hint="default"/>
        <w:lang w:val="en-US" w:eastAsia="en-US" w:bidi="ar-SA"/>
      </w:rPr>
    </w:lvl>
    <w:lvl w:ilvl="4">
      <w:start w:val="0"/>
      <w:numFmt w:val="bullet"/>
      <w:lvlText w:val="•"/>
      <w:lvlJc w:val="left"/>
      <w:pPr>
        <w:ind w:left="4455" w:hanging="135"/>
      </w:pPr>
      <w:rPr>
        <w:rFonts w:hint="default"/>
        <w:lang w:val="en-US" w:eastAsia="en-US" w:bidi="ar-SA"/>
      </w:rPr>
    </w:lvl>
    <w:lvl w:ilvl="5">
      <w:start w:val="0"/>
      <w:numFmt w:val="bullet"/>
      <w:lvlText w:val="•"/>
      <w:lvlJc w:val="left"/>
      <w:pPr>
        <w:ind w:left="5359" w:hanging="135"/>
      </w:pPr>
      <w:rPr>
        <w:rFonts w:hint="default"/>
        <w:lang w:val="en-US" w:eastAsia="en-US" w:bidi="ar-SA"/>
      </w:rPr>
    </w:lvl>
    <w:lvl w:ilvl="6">
      <w:start w:val="0"/>
      <w:numFmt w:val="bullet"/>
      <w:lvlText w:val="•"/>
      <w:lvlJc w:val="left"/>
      <w:pPr>
        <w:ind w:left="6263" w:hanging="135"/>
      </w:pPr>
      <w:rPr>
        <w:rFonts w:hint="default"/>
        <w:lang w:val="en-US" w:eastAsia="en-US" w:bidi="ar-SA"/>
      </w:rPr>
    </w:lvl>
    <w:lvl w:ilvl="7">
      <w:start w:val="0"/>
      <w:numFmt w:val="bullet"/>
      <w:lvlText w:val="•"/>
      <w:lvlJc w:val="left"/>
      <w:pPr>
        <w:ind w:left="7167" w:hanging="135"/>
      </w:pPr>
      <w:rPr>
        <w:rFonts w:hint="default"/>
        <w:lang w:val="en-US" w:eastAsia="en-US" w:bidi="ar-SA"/>
      </w:rPr>
    </w:lvl>
    <w:lvl w:ilvl="8">
      <w:start w:val="0"/>
      <w:numFmt w:val="bullet"/>
      <w:lvlText w:val="•"/>
      <w:lvlJc w:val="left"/>
      <w:pPr>
        <w:ind w:left="8071" w:hanging="135"/>
      </w:pPr>
      <w:rPr>
        <w:rFonts w:hint="default"/>
        <w:lang w:val="en-US" w:eastAsia="en-US" w:bidi="ar-SA"/>
      </w:rPr>
    </w:lvl>
  </w:abstractNum>
  <w:abstractNum w:abstractNumId="6">
    <w:multiLevelType w:val="hybridMultilevel"/>
    <w:lvl w:ilvl="0">
      <w:start w:val="1"/>
      <w:numFmt w:val="lowerLetter"/>
      <w:lvlText w:val="%1)"/>
      <w:lvlJc w:val="left"/>
      <w:pPr>
        <w:ind w:left="833" w:hanging="274"/>
        <w:jc w:val="left"/>
      </w:pPr>
      <w:rPr>
        <w:rFonts w:hint="default" w:ascii="Arial-BoldItalicMT" w:hAnsi="Arial-BoldItalicMT" w:eastAsia="Arial-BoldItalicMT" w:cs="Arial-BoldItalicMT"/>
        <w:b/>
        <w:bCs/>
        <w:i/>
        <w:iCs/>
        <w:w w:val="99"/>
        <w:sz w:val="24"/>
        <w:szCs w:val="24"/>
        <w:lang w:val="en-US" w:eastAsia="en-US" w:bidi="ar-SA"/>
      </w:rPr>
    </w:lvl>
    <w:lvl w:ilvl="1">
      <w:start w:val="0"/>
      <w:numFmt w:val="bullet"/>
      <w:lvlText w:val="•"/>
      <w:lvlJc w:val="left"/>
      <w:pPr>
        <w:ind w:left="1743" w:hanging="274"/>
      </w:pPr>
      <w:rPr>
        <w:rFonts w:hint="default"/>
        <w:lang w:val="en-US" w:eastAsia="en-US" w:bidi="ar-SA"/>
      </w:rPr>
    </w:lvl>
    <w:lvl w:ilvl="2">
      <w:start w:val="0"/>
      <w:numFmt w:val="bullet"/>
      <w:lvlText w:val="•"/>
      <w:lvlJc w:val="left"/>
      <w:pPr>
        <w:ind w:left="2647" w:hanging="274"/>
      </w:pPr>
      <w:rPr>
        <w:rFonts w:hint="default"/>
        <w:lang w:val="en-US" w:eastAsia="en-US" w:bidi="ar-SA"/>
      </w:rPr>
    </w:lvl>
    <w:lvl w:ilvl="3">
      <w:start w:val="0"/>
      <w:numFmt w:val="bullet"/>
      <w:lvlText w:val="•"/>
      <w:lvlJc w:val="left"/>
      <w:pPr>
        <w:ind w:left="3551" w:hanging="274"/>
      </w:pPr>
      <w:rPr>
        <w:rFonts w:hint="default"/>
        <w:lang w:val="en-US" w:eastAsia="en-US" w:bidi="ar-SA"/>
      </w:rPr>
    </w:lvl>
    <w:lvl w:ilvl="4">
      <w:start w:val="0"/>
      <w:numFmt w:val="bullet"/>
      <w:lvlText w:val="•"/>
      <w:lvlJc w:val="left"/>
      <w:pPr>
        <w:ind w:left="4455" w:hanging="274"/>
      </w:pPr>
      <w:rPr>
        <w:rFonts w:hint="default"/>
        <w:lang w:val="en-US" w:eastAsia="en-US" w:bidi="ar-SA"/>
      </w:rPr>
    </w:lvl>
    <w:lvl w:ilvl="5">
      <w:start w:val="0"/>
      <w:numFmt w:val="bullet"/>
      <w:lvlText w:val="•"/>
      <w:lvlJc w:val="left"/>
      <w:pPr>
        <w:ind w:left="5359" w:hanging="274"/>
      </w:pPr>
      <w:rPr>
        <w:rFonts w:hint="default"/>
        <w:lang w:val="en-US" w:eastAsia="en-US" w:bidi="ar-SA"/>
      </w:rPr>
    </w:lvl>
    <w:lvl w:ilvl="6">
      <w:start w:val="0"/>
      <w:numFmt w:val="bullet"/>
      <w:lvlText w:val="•"/>
      <w:lvlJc w:val="left"/>
      <w:pPr>
        <w:ind w:left="6263" w:hanging="274"/>
      </w:pPr>
      <w:rPr>
        <w:rFonts w:hint="default"/>
        <w:lang w:val="en-US" w:eastAsia="en-US" w:bidi="ar-SA"/>
      </w:rPr>
    </w:lvl>
    <w:lvl w:ilvl="7">
      <w:start w:val="0"/>
      <w:numFmt w:val="bullet"/>
      <w:lvlText w:val="•"/>
      <w:lvlJc w:val="left"/>
      <w:pPr>
        <w:ind w:left="7167" w:hanging="274"/>
      </w:pPr>
      <w:rPr>
        <w:rFonts w:hint="default"/>
        <w:lang w:val="en-US" w:eastAsia="en-US" w:bidi="ar-SA"/>
      </w:rPr>
    </w:lvl>
    <w:lvl w:ilvl="8">
      <w:start w:val="0"/>
      <w:numFmt w:val="bullet"/>
      <w:lvlText w:val="•"/>
      <w:lvlJc w:val="left"/>
      <w:pPr>
        <w:ind w:left="8071" w:hanging="274"/>
      </w:pPr>
      <w:rPr>
        <w:rFonts w:hint="default"/>
        <w:lang w:val="en-US" w:eastAsia="en-US" w:bidi="ar-SA"/>
      </w:rPr>
    </w:lvl>
  </w:abstractNum>
  <w:abstractNum w:abstractNumId="5">
    <w:multiLevelType w:val="hybridMultilevel"/>
    <w:lvl w:ilvl="0">
      <w:start w:val="1"/>
      <w:numFmt w:val="lowerLetter"/>
      <w:lvlText w:val="%1)"/>
      <w:lvlJc w:val="left"/>
      <w:pPr>
        <w:ind w:left="1193" w:hanging="360"/>
        <w:jc w:val="left"/>
      </w:pPr>
      <w:rPr>
        <w:rFonts w:hint="default" w:ascii="Arial-BoldItalicMT" w:hAnsi="Arial-BoldItalicMT" w:eastAsia="Arial-BoldItalicMT" w:cs="Arial-BoldItalicMT"/>
        <w:b/>
        <w:bCs/>
        <w:i/>
        <w:iCs/>
        <w:w w:val="99"/>
        <w:sz w:val="24"/>
        <w:szCs w:val="24"/>
        <w:lang w:val="en-US" w:eastAsia="en-US" w:bidi="ar-SA"/>
      </w:rPr>
    </w:lvl>
    <w:lvl w:ilvl="1">
      <w:start w:val="0"/>
      <w:numFmt w:val="bullet"/>
      <w:lvlText w:val="•"/>
      <w:lvlJc w:val="left"/>
      <w:pPr>
        <w:ind w:left="2067" w:hanging="360"/>
      </w:pPr>
      <w:rPr>
        <w:rFonts w:hint="default"/>
        <w:lang w:val="en-US" w:eastAsia="en-US" w:bidi="ar-SA"/>
      </w:rPr>
    </w:lvl>
    <w:lvl w:ilvl="2">
      <w:start w:val="0"/>
      <w:numFmt w:val="bullet"/>
      <w:lvlText w:val="•"/>
      <w:lvlJc w:val="left"/>
      <w:pPr>
        <w:ind w:left="2935" w:hanging="360"/>
      </w:pPr>
      <w:rPr>
        <w:rFonts w:hint="default"/>
        <w:lang w:val="en-US" w:eastAsia="en-US" w:bidi="ar-SA"/>
      </w:rPr>
    </w:lvl>
    <w:lvl w:ilvl="3">
      <w:start w:val="0"/>
      <w:numFmt w:val="bullet"/>
      <w:lvlText w:val="•"/>
      <w:lvlJc w:val="left"/>
      <w:pPr>
        <w:ind w:left="3803" w:hanging="360"/>
      </w:pPr>
      <w:rPr>
        <w:rFonts w:hint="default"/>
        <w:lang w:val="en-US" w:eastAsia="en-US" w:bidi="ar-SA"/>
      </w:rPr>
    </w:lvl>
    <w:lvl w:ilvl="4">
      <w:start w:val="0"/>
      <w:numFmt w:val="bullet"/>
      <w:lvlText w:val="•"/>
      <w:lvlJc w:val="left"/>
      <w:pPr>
        <w:ind w:left="4671" w:hanging="360"/>
      </w:pPr>
      <w:rPr>
        <w:rFonts w:hint="default"/>
        <w:lang w:val="en-US" w:eastAsia="en-US" w:bidi="ar-SA"/>
      </w:rPr>
    </w:lvl>
    <w:lvl w:ilvl="5">
      <w:start w:val="0"/>
      <w:numFmt w:val="bullet"/>
      <w:lvlText w:val="•"/>
      <w:lvlJc w:val="left"/>
      <w:pPr>
        <w:ind w:left="5539" w:hanging="360"/>
      </w:pPr>
      <w:rPr>
        <w:rFonts w:hint="default"/>
        <w:lang w:val="en-US" w:eastAsia="en-US" w:bidi="ar-SA"/>
      </w:rPr>
    </w:lvl>
    <w:lvl w:ilvl="6">
      <w:start w:val="0"/>
      <w:numFmt w:val="bullet"/>
      <w:lvlText w:val="•"/>
      <w:lvlJc w:val="left"/>
      <w:pPr>
        <w:ind w:left="6407" w:hanging="360"/>
      </w:pPr>
      <w:rPr>
        <w:rFonts w:hint="default"/>
        <w:lang w:val="en-US" w:eastAsia="en-US" w:bidi="ar-SA"/>
      </w:rPr>
    </w:lvl>
    <w:lvl w:ilvl="7">
      <w:start w:val="0"/>
      <w:numFmt w:val="bullet"/>
      <w:lvlText w:val="•"/>
      <w:lvlJc w:val="left"/>
      <w:pPr>
        <w:ind w:left="7275" w:hanging="360"/>
      </w:pPr>
      <w:rPr>
        <w:rFonts w:hint="default"/>
        <w:lang w:val="en-US" w:eastAsia="en-US" w:bidi="ar-SA"/>
      </w:rPr>
    </w:lvl>
    <w:lvl w:ilvl="8">
      <w:start w:val="0"/>
      <w:numFmt w:val="bullet"/>
      <w:lvlText w:val="•"/>
      <w:lvlJc w:val="left"/>
      <w:pPr>
        <w:ind w:left="8143" w:hanging="360"/>
      </w:pPr>
      <w:rPr>
        <w:rFonts w:hint="default"/>
        <w:lang w:val="en-US" w:eastAsia="en-US" w:bidi="ar-SA"/>
      </w:rPr>
    </w:lvl>
  </w:abstractNum>
  <w:abstractNum w:abstractNumId="4">
    <w:multiLevelType w:val="hybridMultilevel"/>
    <w:lvl w:ilvl="0">
      <w:start w:val="0"/>
      <w:numFmt w:val="bullet"/>
      <w:lvlText w:val="o"/>
      <w:lvlJc w:val="left"/>
      <w:pPr>
        <w:ind w:left="833" w:hanging="360"/>
      </w:pPr>
      <w:rPr>
        <w:rFonts w:hint="default" w:ascii="Courier New" w:hAnsi="Courier New" w:eastAsia="Courier New" w:cs="Courier New"/>
        <w:b w:val="0"/>
        <w:bCs w:val="0"/>
        <w:i w:val="0"/>
        <w:iCs w:val="0"/>
        <w:w w:val="100"/>
        <w:sz w:val="24"/>
        <w:szCs w:val="24"/>
        <w:lang w:val="en-US" w:eastAsia="en-US" w:bidi="ar-SA"/>
      </w:rPr>
    </w:lvl>
    <w:lvl w:ilvl="1">
      <w:start w:val="1"/>
      <w:numFmt w:val="lowerLetter"/>
      <w:lvlText w:val="%2)"/>
      <w:lvlJc w:val="left"/>
      <w:pPr>
        <w:ind w:left="1246" w:hanging="360"/>
        <w:jc w:val="left"/>
      </w:pPr>
      <w:rPr>
        <w:rFonts w:hint="default" w:ascii="Arial" w:hAnsi="Arial" w:eastAsia="Arial" w:cs="Arial"/>
        <w:b w:val="0"/>
        <w:bCs w:val="0"/>
        <w:i/>
        <w:iCs/>
        <w:w w:val="99"/>
        <w:sz w:val="24"/>
        <w:szCs w:val="24"/>
        <w:lang w:val="en-US" w:eastAsia="en-US" w:bidi="ar-SA"/>
      </w:rPr>
    </w:lvl>
    <w:lvl w:ilvl="2">
      <w:start w:val="0"/>
      <w:numFmt w:val="bullet"/>
      <w:lvlText w:val="•"/>
      <w:lvlJc w:val="left"/>
      <w:pPr>
        <w:ind w:left="2199" w:hanging="360"/>
      </w:pPr>
      <w:rPr>
        <w:rFonts w:hint="default"/>
        <w:lang w:val="en-US" w:eastAsia="en-US" w:bidi="ar-SA"/>
      </w:rPr>
    </w:lvl>
    <w:lvl w:ilvl="3">
      <w:start w:val="0"/>
      <w:numFmt w:val="bullet"/>
      <w:lvlText w:val="•"/>
      <w:lvlJc w:val="left"/>
      <w:pPr>
        <w:ind w:left="3159" w:hanging="360"/>
      </w:pPr>
      <w:rPr>
        <w:rFonts w:hint="default"/>
        <w:lang w:val="en-US" w:eastAsia="en-US" w:bidi="ar-SA"/>
      </w:rPr>
    </w:lvl>
    <w:lvl w:ilvl="4">
      <w:start w:val="0"/>
      <w:numFmt w:val="bullet"/>
      <w:lvlText w:val="•"/>
      <w:lvlJc w:val="left"/>
      <w:pPr>
        <w:ind w:left="4119" w:hanging="360"/>
      </w:pPr>
      <w:rPr>
        <w:rFonts w:hint="default"/>
        <w:lang w:val="en-US" w:eastAsia="en-US" w:bidi="ar-SA"/>
      </w:rPr>
    </w:lvl>
    <w:lvl w:ilvl="5">
      <w:start w:val="0"/>
      <w:numFmt w:val="bullet"/>
      <w:lvlText w:val="•"/>
      <w:lvlJc w:val="left"/>
      <w:pPr>
        <w:ind w:left="5079" w:hanging="360"/>
      </w:pPr>
      <w:rPr>
        <w:rFonts w:hint="default"/>
        <w:lang w:val="en-US" w:eastAsia="en-US" w:bidi="ar-SA"/>
      </w:rPr>
    </w:lvl>
    <w:lvl w:ilvl="6">
      <w:start w:val="0"/>
      <w:numFmt w:val="bullet"/>
      <w:lvlText w:val="•"/>
      <w:lvlJc w:val="left"/>
      <w:pPr>
        <w:ind w:left="6039" w:hanging="360"/>
      </w:pPr>
      <w:rPr>
        <w:rFonts w:hint="default"/>
        <w:lang w:val="en-US" w:eastAsia="en-US" w:bidi="ar-SA"/>
      </w:rPr>
    </w:lvl>
    <w:lvl w:ilvl="7">
      <w:start w:val="0"/>
      <w:numFmt w:val="bullet"/>
      <w:lvlText w:val="•"/>
      <w:lvlJc w:val="left"/>
      <w:pPr>
        <w:ind w:left="6999" w:hanging="360"/>
      </w:pPr>
      <w:rPr>
        <w:rFonts w:hint="default"/>
        <w:lang w:val="en-US" w:eastAsia="en-US" w:bidi="ar-SA"/>
      </w:rPr>
    </w:lvl>
    <w:lvl w:ilvl="8">
      <w:start w:val="0"/>
      <w:numFmt w:val="bullet"/>
      <w:lvlText w:val="•"/>
      <w:lvlJc w:val="left"/>
      <w:pPr>
        <w:ind w:left="7959" w:hanging="360"/>
      </w:pPr>
      <w:rPr>
        <w:rFonts w:hint="default"/>
        <w:lang w:val="en-US" w:eastAsia="en-US" w:bidi="ar-SA"/>
      </w:rPr>
    </w:lvl>
  </w:abstractNum>
  <w:abstractNum w:abstractNumId="3">
    <w:multiLevelType w:val="hybridMultilevel"/>
    <w:lvl w:ilvl="0">
      <w:start w:val="0"/>
      <w:numFmt w:val="bullet"/>
      <w:lvlText w:val="▪"/>
      <w:lvlJc w:val="left"/>
      <w:pPr>
        <w:ind w:left="1181" w:hanging="360"/>
      </w:pPr>
      <w:rPr>
        <w:rFonts w:hint="default" w:ascii="Arial Unicode MS" w:hAnsi="Arial Unicode MS" w:eastAsia="Arial Unicode MS" w:cs="Arial Unicode MS"/>
        <w:b w:val="0"/>
        <w:bCs w:val="0"/>
        <w:i w:val="0"/>
        <w:iCs w:val="0"/>
        <w:w w:val="100"/>
        <w:sz w:val="22"/>
        <w:szCs w:val="22"/>
        <w:lang w:val="en-US" w:eastAsia="en-US" w:bidi="ar-SA"/>
      </w:rPr>
    </w:lvl>
    <w:lvl w:ilvl="1">
      <w:start w:val="0"/>
      <w:numFmt w:val="bullet"/>
      <w:lvlText w:val="•"/>
      <w:lvlJc w:val="left"/>
      <w:pPr>
        <w:ind w:left="2049" w:hanging="360"/>
      </w:pPr>
      <w:rPr>
        <w:rFonts w:hint="default"/>
        <w:lang w:val="en-US" w:eastAsia="en-US" w:bidi="ar-SA"/>
      </w:rPr>
    </w:lvl>
    <w:lvl w:ilvl="2">
      <w:start w:val="0"/>
      <w:numFmt w:val="bullet"/>
      <w:lvlText w:val="•"/>
      <w:lvlJc w:val="left"/>
      <w:pPr>
        <w:ind w:left="2919" w:hanging="360"/>
      </w:pPr>
      <w:rPr>
        <w:rFonts w:hint="default"/>
        <w:lang w:val="en-US" w:eastAsia="en-US" w:bidi="ar-SA"/>
      </w:rPr>
    </w:lvl>
    <w:lvl w:ilvl="3">
      <w:start w:val="0"/>
      <w:numFmt w:val="bullet"/>
      <w:lvlText w:val="•"/>
      <w:lvlJc w:val="left"/>
      <w:pPr>
        <w:ind w:left="3789" w:hanging="360"/>
      </w:pPr>
      <w:rPr>
        <w:rFonts w:hint="default"/>
        <w:lang w:val="en-US" w:eastAsia="en-US" w:bidi="ar-SA"/>
      </w:rPr>
    </w:lvl>
    <w:lvl w:ilvl="4">
      <w:start w:val="0"/>
      <w:numFmt w:val="bullet"/>
      <w:lvlText w:val="•"/>
      <w:lvlJc w:val="left"/>
      <w:pPr>
        <w:ind w:left="4659" w:hanging="360"/>
      </w:pPr>
      <w:rPr>
        <w:rFonts w:hint="default"/>
        <w:lang w:val="en-US" w:eastAsia="en-US" w:bidi="ar-SA"/>
      </w:rPr>
    </w:lvl>
    <w:lvl w:ilvl="5">
      <w:start w:val="0"/>
      <w:numFmt w:val="bullet"/>
      <w:lvlText w:val="•"/>
      <w:lvlJc w:val="left"/>
      <w:pPr>
        <w:ind w:left="5529" w:hanging="360"/>
      </w:pPr>
      <w:rPr>
        <w:rFonts w:hint="default"/>
        <w:lang w:val="en-US" w:eastAsia="en-US" w:bidi="ar-SA"/>
      </w:rPr>
    </w:lvl>
    <w:lvl w:ilvl="6">
      <w:start w:val="0"/>
      <w:numFmt w:val="bullet"/>
      <w:lvlText w:val="•"/>
      <w:lvlJc w:val="left"/>
      <w:pPr>
        <w:ind w:left="6399" w:hanging="360"/>
      </w:pPr>
      <w:rPr>
        <w:rFonts w:hint="default"/>
        <w:lang w:val="en-US" w:eastAsia="en-US" w:bidi="ar-SA"/>
      </w:rPr>
    </w:lvl>
    <w:lvl w:ilvl="7">
      <w:start w:val="0"/>
      <w:numFmt w:val="bullet"/>
      <w:lvlText w:val="•"/>
      <w:lvlJc w:val="left"/>
      <w:pPr>
        <w:ind w:left="7269" w:hanging="360"/>
      </w:pPr>
      <w:rPr>
        <w:rFonts w:hint="default"/>
        <w:lang w:val="en-US" w:eastAsia="en-US" w:bidi="ar-SA"/>
      </w:rPr>
    </w:lvl>
    <w:lvl w:ilvl="8">
      <w:start w:val="0"/>
      <w:numFmt w:val="bullet"/>
      <w:lvlText w:val="•"/>
      <w:lvlJc w:val="left"/>
      <w:pPr>
        <w:ind w:left="8139" w:hanging="360"/>
      </w:pPr>
      <w:rPr>
        <w:rFonts w:hint="default"/>
        <w:lang w:val="en-US" w:eastAsia="en-US" w:bidi="ar-SA"/>
      </w:rPr>
    </w:lvl>
  </w:abstractNum>
  <w:abstractNum w:abstractNumId="2">
    <w:multiLevelType w:val="hybridMultilevel"/>
    <w:lvl w:ilvl="0">
      <w:start w:val="0"/>
      <w:numFmt w:val="bullet"/>
      <w:lvlText w:val="➢"/>
      <w:lvlJc w:val="left"/>
      <w:pPr>
        <w:ind w:left="833" w:hanging="360"/>
      </w:pPr>
      <w:rPr>
        <w:rFonts w:hint="default" w:ascii="Arial Unicode MS" w:hAnsi="Arial Unicode MS" w:eastAsia="Arial Unicode MS" w:cs="Arial Unicode MS"/>
        <w:b w:val="0"/>
        <w:bCs w:val="0"/>
        <w:i w:val="0"/>
        <w:iCs w:val="0"/>
        <w:w w:val="100"/>
        <w:sz w:val="22"/>
        <w:szCs w:val="22"/>
        <w:lang w:val="en-US" w:eastAsia="en-US" w:bidi="ar-SA"/>
      </w:rPr>
    </w:lvl>
    <w:lvl w:ilvl="1">
      <w:start w:val="0"/>
      <w:numFmt w:val="bullet"/>
      <w:lvlText w:val="•"/>
      <w:lvlJc w:val="left"/>
      <w:pPr>
        <w:ind w:left="1181" w:hanging="360"/>
      </w:pPr>
      <w:rPr>
        <w:rFonts w:hint="default" w:ascii="Arial" w:hAnsi="Arial" w:eastAsia="Arial" w:cs="Arial"/>
        <w:b w:val="0"/>
        <w:bCs w:val="0"/>
        <w:i w:val="0"/>
        <w:iCs w:val="0"/>
        <w:w w:val="131"/>
        <w:sz w:val="22"/>
        <w:szCs w:val="22"/>
        <w:lang w:val="en-US" w:eastAsia="en-US" w:bidi="ar-SA"/>
      </w:rPr>
    </w:lvl>
    <w:lvl w:ilvl="2">
      <w:start w:val="0"/>
      <w:numFmt w:val="bullet"/>
      <w:lvlText w:val="•"/>
      <w:lvlJc w:val="left"/>
      <w:pPr>
        <w:ind w:left="2146" w:hanging="360"/>
      </w:pPr>
      <w:rPr>
        <w:rFonts w:hint="default"/>
        <w:lang w:val="en-US" w:eastAsia="en-US" w:bidi="ar-SA"/>
      </w:rPr>
    </w:lvl>
    <w:lvl w:ilvl="3">
      <w:start w:val="0"/>
      <w:numFmt w:val="bullet"/>
      <w:lvlText w:val="•"/>
      <w:lvlJc w:val="left"/>
      <w:pPr>
        <w:ind w:left="3113" w:hanging="360"/>
      </w:pPr>
      <w:rPr>
        <w:rFonts w:hint="default"/>
        <w:lang w:val="en-US" w:eastAsia="en-US" w:bidi="ar-SA"/>
      </w:rPr>
    </w:lvl>
    <w:lvl w:ilvl="4">
      <w:start w:val="0"/>
      <w:numFmt w:val="bullet"/>
      <w:lvlText w:val="•"/>
      <w:lvlJc w:val="left"/>
      <w:pPr>
        <w:ind w:left="4079" w:hanging="360"/>
      </w:pPr>
      <w:rPr>
        <w:rFonts w:hint="default"/>
        <w:lang w:val="en-US" w:eastAsia="en-US" w:bidi="ar-SA"/>
      </w:rPr>
    </w:lvl>
    <w:lvl w:ilvl="5">
      <w:start w:val="0"/>
      <w:numFmt w:val="bullet"/>
      <w:lvlText w:val="•"/>
      <w:lvlJc w:val="left"/>
      <w:pPr>
        <w:ind w:left="5046" w:hanging="360"/>
      </w:pPr>
      <w:rPr>
        <w:rFonts w:hint="default"/>
        <w:lang w:val="en-US" w:eastAsia="en-US" w:bidi="ar-SA"/>
      </w:rPr>
    </w:lvl>
    <w:lvl w:ilvl="6">
      <w:start w:val="0"/>
      <w:numFmt w:val="bullet"/>
      <w:lvlText w:val="•"/>
      <w:lvlJc w:val="left"/>
      <w:pPr>
        <w:ind w:left="6012" w:hanging="360"/>
      </w:pPr>
      <w:rPr>
        <w:rFonts w:hint="default"/>
        <w:lang w:val="en-US" w:eastAsia="en-US" w:bidi="ar-SA"/>
      </w:rPr>
    </w:lvl>
    <w:lvl w:ilvl="7">
      <w:start w:val="0"/>
      <w:numFmt w:val="bullet"/>
      <w:lvlText w:val="•"/>
      <w:lvlJc w:val="left"/>
      <w:pPr>
        <w:ind w:left="6979" w:hanging="360"/>
      </w:pPr>
      <w:rPr>
        <w:rFonts w:hint="default"/>
        <w:lang w:val="en-US" w:eastAsia="en-US" w:bidi="ar-SA"/>
      </w:rPr>
    </w:lvl>
    <w:lvl w:ilvl="8">
      <w:start w:val="0"/>
      <w:numFmt w:val="bullet"/>
      <w:lvlText w:val="•"/>
      <w:lvlJc w:val="left"/>
      <w:pPr>
        <w:ind w:left="7946" w:hanging="360"/>
      </w:pPr>
      <w:rPr>
        <w:rFonts w:hint="default"/>
        <w:lang w:val="en-US" w:eastAsia="en-US" w:bidi="ar-SA"/>
      </w:rPr>
    </w:lvl>
  </w:abstractNum>
  <w:abstractNum w:abstractNumId="1">
    <w:multiLevelType w:val="hybridMultilevel"/>
    <w:lvl w:ilvl="0">
      <w:start w:val="0"/>
      <w:numFmt w:val="bullet"/>
      <w:lvlText w:val="•"/>
      <w:lvlJc w:val="left"/>
      <w:pPr>
        <w:ind w:left="1181" w:hanging="360"/>
      </w:pPr>
      <w:rPr>
        <w:rFonts w:hint="default" w:ascii="Arial" w:hAnsi="Arial" w:eastAsia="Arial" w:cs="Arial"/>
        <w:b w:val="0"/>
        <w:bCs w:val="0"/>
        <w:i w:val="0"/>
        <w:iCs w:val="0"/>
        <w:w w:val="131"/>
        <w:sz w:val="22"/>
        <w:szCs w:val="22"/>
        <w:lang w:val="en-US" w:eastAsia="en-US" w:bidi="ar-SA"/>
      </w:rPr>
    </w:lvl>
    <w:lvl w:ilvl="1">
      <w:start w:val="0"/>
      <w:numFmt w:val="bullet"/>
      <w:lvlText w:val="•"/>
      <w:lvlJc w:val="left"/>
      <w:pPr>
        <w:ind w:left="2049" w:hanging="360"/>
      </w:pPr>
      <w:rPr>
        <w:rFonts w:hint="default"/>
        <w:lang w:val="en-US" w:eastAsia="en-US" w:bidi="ar-SA"/>
      </w:rPr>
    </w:lvl>
    <w:lvl w:ilvl="2">
      <w:start w:val="0"/>
      <w:numFmt w:val="bullet"/>
      <w:lvlText w:val="•"/>
      <w:lvlJc w:val="left"/>
      <w:pPr>
        <w:ind w:left="2919" w:hanging="360"/>
      </w:pPr>
      <w:rPr>
        <w:rFonts w:hint="default"/>
        <w:lang w:val="en-US" w:eastAsia="en-US" w:bidi="ar-SA"/>
      </w:rPr>
    </w:lvl>
    <w:lvl w:ilvl="3">
      <w:start w:val="0"/>
      <w:numFmt w:val="bullet"/>
      <w:lvlText w:val="•"/>
      <w:lvlJc w:val="left"/>
      <w:pPr>
        <w:ind w:left="3789" w:hanging="360"/>
      </w:pPr>
      <w:rPr>
        <w:rFonts w:hint="default"/>
        <w:lang w:val="en-US" w:eastAsia="en-US" w:bidi="ar-SA"/>
      </w:rPr>
    </w:lvl>
    <w:lvl w:ilvl="4">
      <w:start w:val="0"/>
      <w:numFmt w:val="bullet"/>
      <w:lvlText w:val="•"/>
      <w:lvlJc w:val="left"/>
      <w:pPr>
        <w:ind w:left="4659" w:hanging="360"/>
      </w:pPr>
      <w:rPr>
        <w:rFonts w:hint="default"/>
        <w:lang w:val="en-US" w:eastAsia="en-US" w:bidi="ar-SA"/>
      </w:rPr>
    </w:lvl>
    <w:lvl w:ilvl="5">
      <w:start w:val="0"/>
      <w:numFmt w:val="bullet"/>
      <w:lvlText w:val="•"/>
      <w:lvlJc w:val="left"/>
      <w:pPr>
        <w:ind w:left="5529" w:hanging="360"/>
      </w:pPr>
      <w:rPr>
        <w:rFonts w:hint="default"/>
        <w:lang w:val="en-US" w:eastAsia="en-US" w:bidi="ar-SA"/>
      </w:rPr>
    </w:lvl>
    <w:lvl w:ilvl="6">
      <w:start w:val="0"/>
      <w:numFmt w:val="bullet"/>
      <w:lvlText w:val="•"/>
      <w:lvlJc w:val="left"/>
      <w:pPr>
        <w:ind w:left="6399" w:hanging="360"/>
      </w:pPr>
      <w:rPr>
        <w:rFonts w:hint="default"/>
        <w:lang w:val="en-US" w:eastAsia="en-US" w:bidi="ar-SA"/>
      </w:rPr>
    </w:lvl>
    <w:lvl w:ilvl="7">
      <w:start w:val="0"/>
      <w:numFmt w:val="bullet"/>
      <w:lvlText w:val="•"/>
      <w:lvlJc w:val="left"/>
      <w:pPr>
        <w:ind w:left="7269" w:hanging="360"/>
      </w:pPr>
      <w:rPr>
        <w:rFonts w:hint="default"/>
        <w:lang w:val="en-US" w:eastAsia="en-US" w:bidi="ar-SA"/>
      </w:rPr>
    </w:lvl>
    <w:lvl w:ilvl="8">
      <w:start w:val="0"/>
      <w:numFmt w:val="bullet"/>
      <w:lvlText w:val="•"/>
      <w:lvlJc w:val="left"/>
      <w:pPr>
        <w:ind w:left="8139" w:hanging="360"/>
      </w:pPr>
      <w:rPr>
        <w:rFonts w:hint="default"/>
        <w:lang w:val="en-US" w:eastAsia="en-US" w:bidi="ar-SA"/>
      </w:rPr>
    </w:lvl>
  </w:abstractNum>
  <w:abstractNum w:abstractNumId="0">
    <w:multiLevelType w:val="hybridMultilevel"/>
    <w:lvl w:ilvl="0">
      <w:start w:val="0"/>
      <w:numFmt w:val="bullet"/>
      <w:lvlText w:val="•"/>
      <w:lvlJc w:val="left"/>
      <w:pPr>
        <w:ind w:left="1541" w:hanging="360"/>
      </w:pPr>
      <w:rPr>
        <w:rFonts w:hint="default" w:ascii="Arial" w:hAnsi="Arial" w:eastAsia="Arial" w:cs="Arial"/>
        <w:b w:val="0"/>
        <w:bCs w:val="0"/>
        <w:i w:val="0"/>
        <w:iCs w:val="0"/>
        <w:w w:val="131"/>
        <w:sz w:val="22"/>
        <w:szCs w:val="22"/>
        <w:lang w:val="en-US" w:eastAsia="en-US" w:bidi="ar-SA"/>
      </w:rPr>
    </w:lvl>
    <w:lvl w:ilvl="1">
      <w:start w:val="0"/>
      <w:numFmt w:val="bullet"/>
      <w:lvlText w:val="•"/>
      <w:lvlJc w:val="left"/>
      <w:pPr>
        <w:ind w:left="2373" w:hanging="360"/>
      </w:pPr>
      <w:rPr>
        <w:rFonts w:hint="default"/>
        <w:lang w:val="en-US" w:eastAsia="en-US" w:bidi="ar-SA"/>
      </w:rPr>
    </w:lvl>
    <w:lvl w:ilvl="2">
      <w:start w:val="0"/>
      <w:numFmt w:val="bullet"/>
      <w:lvlText w:val="•"/>
      <w:lvlJc w:val="left"/>
      <w:pPr>
        <w:ind w:left="3207" w:hanging="360"/>
      </w:pPr>
      <w:rPr>
        <w:rFonts w:hint="default"/>
        <w:lang w:val="en-US" w:eastAsia="en-US" w:bidi="ar-SA"/>
      </w:rPr>
    </w:lvl>
    <w:lvl w:ilvl="3">
      <w:start w:val="0"/>
      <w:numFmt w:val="bullet"/>
      <w:lvlText w:val="•"/>
      <w:lvlJc w:val="left"/>
      <w:pPr>
        <w:ind w:left="4041" w:hanging="360"/>
      </w:pPr>
      <w:rPr>
        <w:rFonts w:hint="default"/>
        <w:lang w:val="en-US" w:eastAsia="en-US" w:bidi="ar-SA"/>
      </w:rPr>
    </w:lvl>
    <w:lvl w:ilvl="4">
      <w:start w:val="0"/>
      <w:numFmt w:val="bullet"/>
      <w:lvlText w:val="•"/>
      <w:lvlJc w:val="left"/>
      <w:pPr>
        <w:ind w:left="4875" w:hanging="360"/>
      </w:pPr>
      <w:rPr>
        <w:rFonts w:hint="default"/>
        <w:lang w:val="en-US" w:eastAsia="en-US" w:bidi="ar-SA"/>
      </w:rPr>
    </w:lvl>
    <w:lvl w:ilvl="5">
      <w:start w:val="0"/>
      <w:numFmt w:val="bullet"/>
      <w:lvlText w:val="•"/>
      <w:lvlJc w:val="left"/>
      <w:pPr>
        <w:ind w:left="5709" w:hanging="360"/>
      </w:pPr>
      <w:rPr>
        <w:rFonts w:hint="default"/>
        <w:lang w:val="en-US" w:eastAsia="en-US" w:bidi="ar-SA"/>
      </w:rPr>
    </w:lvl>
    <w:lvl w:ilvl="6">
      <w:start w:val="0"/>
      <w:numFmt w:val="bullet"/>
      <w:lvlText w:val="•"/>
      <w:lvlJc w:val="left"/>
      <w:pPr>
        <w:ind w:left="6543" w:hanging="360"/>
      </w:pPr>
      <w:rPr>
        <w:rFonts w:hint="default"/>
        <w:lang w:val="en-US" w:eastAsia="en-US" w:bidi="ar-SA"/>
      </w:rPr>
    </w:lvl>
    <w:lvl w:ilvl="7">
      <w:start w:val="0"/>
      <w:numFmt w:val="bullet"/>
      <w:lvlText w:val="•"/>
      <w:lvlJc w:val="left"/>
      <w:pPr>
        <w:ind w:left="7377" w:hanging="360"/>
      </w:pPr>
      <w:rPr>
        <w:rFonts w:hint="default"/>
        <w:lang w:val="en-US" w:eastAsia="en-US" w:bidi="ar-SA"/>
      </w:rPr>
    </w:lvl>
    <w:lvl w:ilvl="8">
      <w:start w:val="0"/>
      <w:numFmt w:val="bullet"/>
      <w:lvlText w:val="•"/>
      <w:lvlJc w:val="left"/>
      <w:pPr>
        <w:ind w:left="8211" w:hanging="360"/>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BoldItalicMT" w:hAnsi="Arial-BoldItalicMT" w:eastAsia="Arial-BoldItalicMT" w:cs="Arial-BoldItalicMT"/>
      <w:b/>
      <w:bCs/>
      <w:i/>
      <w:iCs/>
      <w:sz w:val="24"/>
      <w:szCs w:val="24"/>
      <w:lang w:val="en-US" w:eastAsia="en-US" w:bidi="ar-SA"/>
    </w:rPr>
  </w:style>
  <w:style w:styleId="ListParagraph" w:type="paragraph">
    <w:name w:val="List Paragraph"/>
    <w:basedOn w:val="Normal"/>
    <w:uiPriority w:val="1"/>
    <w:qFormat/>
    <w:pPr>
      <w:ind w:left="833" w:right="128" w:hanging="360"/>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fontTable" Target="/word/fontTable.xml" Id="rId2" /><Relationship Type="http://schemas.openxmlformats.org/officeDocument/2006/relationships/theme" Target="/word/theme/theme111.xml" Id="rId3" /><Relationship Type="http://schemas.openxmlformats.org/officeDocument/2006/relationships/settings" Target="/word/settings.xml" Id="rId4" /><Relationship Type="http://schemas.openxmlformats.org/officeDocument/2006/relationships/footer" Target="/word/footer111.xml" Id="rId5" /><Relationship Type="http://schemas.openxmlformats.org/officeDocument/2006/relationships/image" Target="/word/media/image1.jpeg" Id="rId6" /><Relationship Type="http://schemas.openxmlformats.org/officeDocument/2006/relationships/numbering" Target="/word/numbering.xml" Id="rId37" /><Relationship Type="http://schemas.openxmlformats.org/officeDocument/2006/relationships/hyperlink" Target="mailto:ec-president-vdl@ec.europa.eu" TargetMode="External" Id="rId7" /><Relationship Type="http://schemas.openxmlformats.org/officeDocument/2006/relationships/hyperlink" Target="mailto:cab-kryakides-contact@eu.europa.eu" TargetMode="External" Id="rId8" /><Relationship Type="http://schemas.openxmlformats.org/officeDocument/2006/relationships/hyperlink" Target="mailto:info@ema.europa.com" TargetMode="External" Id="rId9" /><Relationship Type="http://schemas.openxmlformats.org/officeDocument/2006/relationships/hyperlink" Target="mailto:emer.cooke@ema.europa.eu" TargetMode="External" Id="rId10" /><Relationship Type="http://schemas.openxmlformats.org/officeDocument/2006/relationships/hyperlink" Target="mailto:alexis.nolte@ema.europa.eu" TargetMode="External" Id="rId11" /><Relationship Type="http://schemas.openxmlformats.org/officeDocument/2006/relationships/hyperlink" Target="mailto:irene.rager@ema.europa.eu" TargetMode="External" Id="rId12" /><Relationship Type="http://schemas.openxmlformats.org/officeDocument/2006/relationships/hyperlink" Target="mailto:ana.hidalgo-simon@ema.europa.eu" TargetMode="External" Id="rId13" /><Relationship Type="http://schemas.openxmlformats.org/officeDocument/2006/relationships/hyperlink" Target="mailto:michael.berntgen@ema.europa.eu" TargetMode="External" Id="rId14" /><Relationship Type="http://schemas.openxmlformats.org/officeDocument/2006/relationships/hyperlink" Target="mailto:georgy.genov@ema.europa.eu" TargetMode="External" Id="rId15" /><Relationship Type="http://schemas.openxmlformats.org/officeDocument/2006/relationships/hyperlink" Target="mailto:alexios.skarlatos@ema.europa.eu" TargetMode="External" Id="rId16" /><Relationship Type="http://schemas.openxmlformats.org/officeDocument/2006/relationships/hyperlink" Target="mailto:Alberto.ganan@ema.europa.eu" TargetMode="External" Id="rId17" /><Relationship Type="http://schemas.openxmlformats.org/officeDocument/2006/relationships/hyperlink" Target="mailto:thomas.girard@ema.europa.eu" TargetMode="External" Id="rId18" /><Relationship Type="http://schemas.openxmlformats.org/officeDocument/2006/relationships/hyperlink" Target="mailto:seggen@postacert.sanita.it" TargetMode="External" Id="rId19" /><Relationship Type="http://schemas.openxmlformats.org/officeDocument/2006/relationships/hyperlink" Target="mailto:dgprev@postacert.sanita.it" TargetMode="External" Id="rId20" /><Relationship Type="http://schemas.openxmlformats.org/officeDocument/2006/relationships/hyperlink" Target="mailto:segreteria.ministro@sanita.it" TargetMode="External" Id="rId21" /><Relationship Type="http://schemas.openxmlformats.org/officeDocument/2006/relationships/hyperlink" Target="mailto:sileri.ufficio@sanita.it" TargetMode="External" Id="rId22" /><Relationship Type="http://schemas.openxmlformats.org/officeDocument/2006/relationships/hyperlink" Target="mailto:g.leonardi@sanita.it" TargetMode="External" Id="rId23" /><Relationship Type="http://schemas.openxmlformats.org/officeDocument/2006/relationships/hyperlink" Target="mailto:dgocts@postacert.sanita.it" TargetMode="External" Id="rId24" /><Relationship Type="http://schemas.openxmlformats.org/officeDocument/2006/relationships/hyperlink" Target="mailto:franco.locatell@opbg.net" TargetMode="External" Id="rId25" /><Relationship Type="http://schemas.openxmlformats.org/officeDocument/2006/relationships/hyperlink" Target="mailto:segr.dgprev@sanita.it" TargetMode="External" Id="rId26" /><Relationship Type="http://schemas.openxmlformats.org/officeDocument/2006/relationships/hyperlink" Target="mailto:protocollo.centrale@pec.iss.it" TargetMode="External" Id="rId27" /><Relationship Type="http://schemas.openxmlformats.org/officeDocument/2006/relationships/hyperlink" Target="mailto:web@iss.it" TargetMode="External" Id="rId28" /><Relationship Type="http://schemas.openxmlformats.org/officeDocument/2006/relationships/hyperlink" Target="mailto:presidenza@iss.it" TargetMode="External" Id="rId29" /><Relationship Type="http://schemas.openxmlformats.org/officeDocument/2006/relationships/hyperlink" Target="mailto:direzione.generale@pec.aifa.gov.it" TargetMode="External" Id="rId30" /><Relationship Type="http://schemas.openxmlformats.org/officeDocument/2006/relationships/hyperlink" Target="mailto:n.magrini@aifa.gov.it" TargetMode="External" Id="rId31" /><Relationship Type="http://schemas.openxmlformats.org/officeDocument/2006/relationships/hyperlink" Target="mailto:presidenza@pec.aifa.gov.it" TargetMode="External" Id="rId32" /><Relationship Type="http://schemas.openxmlformats.org/officeDocument/2006/relationships/hyperlink" Target="mailto:presidenza@aifa.gov.it" TargetMode="External" Id="rId33" /><Relationship Type="http://schemas.openxmlformats.org/officeDocument/2006/relationships/hyperlink" Target="http://www.aifa.gov.it/comirnaty" TargetMode="External" Id="rId34" /><Relationship Type="http://schemas.openxmlformats.org/officeDocument/2006/relationships/hyperlink" Target="https://www.aifa.gov.it/moderna" TargetMode="External" Id="rId35" /><Relationship Type="http://schemas.openxmlformats.org/officeDocument/2006/relationships/hyperlink" Target="https://www.preprints.org/manuscript/202206.0308/v1" TargetMode="External" Id="rId36"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Application>Microsoft Office Word</ap:Application>
  <ap:DocSecurity>0</ap:DocSecurity>
  <ap:ScaleCrop>false</ap:ScaleCrop>
  <ap:LinksUpToDate>false</ap:LinksUpToDate>
  <ap:SharedDoc>false</ap:SharedDoc>
  <ap:HyperlinksChanged>false</ap:HyperlinksChanged>
  <ap:AppVersion>12.0000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Lorena Tagnin</dc:creator>
  <keywords>docId:5C4D2100170A92286EDE909F2C481971</keywords>
  <dcterms:created xsi:type="dcterms:W3CDTF">2022-07-29T13:27:58.0000000Z</dcterms:created>
  <dcterms:modified xsi:type="dcterms:W3CDTF">2022-07-29T13:27:58.0000000Z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Creator">
    <vt:lpwstr>Microsoft® Word für Microsoft 365</vt:lpwstr>
  </property>
  <property fmtid="{D5CDD505-2E9C-101B-9397-08002B2CF9AE}" pid="4" name="LastSaved">
    <vt:filetime>2022-07-29T00:00:00Z</vt:filetime>
  </property>
  <property fmtid="{D5CDD505-2E9C-101B-9397-08002B2CF9AE}" pid="5" name="Producer">
    <vt:lpwstr>Microsoft® Word für Microsoft 365</vt:lpwstr>
  </property>
</Properties>
</file>